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2F83" w14:textId="48C489CC" w:rsidR="005566AC" w:rsidRPr="007D618C" w:rsidRDefault="00E70A9C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ESTUDIOS PREVIOS PARA CONTRATAR </w:t>
      </w:r>
      <w:r w:rsidR="0005349D" w:rsidRPr="00CD7B7E">
        <w:rPr>
          <w:rFonts w:ascii="Arial" w:hAnsi="Arial" w:cs="Arial"/>
          <w:sz w:val="24"/>
          <w:szCs w:val="24"/>
        </w:rPr>
        <w:t xml:space="preserve">LOS  SERVICIOS DE APOYO  A LA GESTIÓN EN EL INSTITUTO DE FINANCIAMIENTO, PROMOCIÓN Y DESARROLLO DE TULUA, INFITULUA PARA REALIZAR ACTIVIDADES DE </w:t>
      </w:r>
      <w:r w:rsidR="0005349D" w:rsidRPr="00CD7B7E">
        <w:rPr>
          <w:rFonts w:ascii="Arial" w:hAnsi="Arial" w:cs="Arial"/>
          <w:b/>
          <w:sz w:val="24"/>
          <w:szCs w:val="24"/>
        </w:rPr>
        <w:t xml:space="preserve"> </w:t>
      </w:r>
      <w:r w:rsidR="0005349D" w:rsidRPr="00CD7B7E">
        <w:rPr>
          <w:rFonts w:ascii="Arial" w:hAnsi="Arial" w:cs="Arial"/>
          <w:color w:val="222222"/>
          <w:sz w:val="24"/>
          <w:szCs w:val="24"/>
          <w:lang w:eastAsia="es-CO"/>
        </w:rPr>
        <w:t>SERVICIOS DE CONSERJERÍA, ASEO, LOGÍSTICA</w:t>
      </w:r>
      <w:r w:rsidR="0005349D" w:rsidRPr="00CD7B7E">
        <w:rPr>
          <w:rFonts w:ascii="Arial" w:hAnsi="Arial" w:cs="Arial"/>
          <w:sz w:val="24"/>
          <w:szCs w:val="24"/>
        </w:rPr>
        <w:t xml:space="preserve"> Y SUPERVISION EN LAS INSTALACIONES DEL PREDIO DENOMINADO GONCHECOL.</w:t>
      </w:r>
    </w:p>
    <w:p w14:paraId="38C6B6E4" w14:textId="77777777" w:rsidR="005566AC" w:rsidRDefault="005566AC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33DEF7E1" w14:textId="77777777" w:rsidR="00306C33" w:rsidRDefault="00306C33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0BD83401" w14:textId="77777777" w:rsidR="00306C33" w:rsidRPr="007D618C" w:rsidRDefault="00306C33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3A631DDF" w14:textId="77777777" w:rsidR="00CA5437" w:rsidRPr="007D618C" w:rsidRDefault="00CA5437" w:rsidP="00F40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DESCRIPCION DE LA NECESIDAD</w:t>
      </w:r>
    </w:p>
    <w:p w14:paraId="077DD413" w14:textId="77777777" w:rsidR="00F669EC" w:rsidRPr="007D618C" w:rsidRDefault="00F669EC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10F73F7" w14:textId="0794FC74" w:rsidR="00DE5B5B" w:rsidRPr="0005349D" w:rsidRDefault="006206CA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-.</w:t>
      </w:r>
      <w:r w:rsidRPr="0005349D">
        <w:rPr>
          <w:rFonts w:ascii="Arial" w:hAnsi="Arial" w:cs="Arial"/>
          <w:sz w:val="23"/>
          <w:szCs w:val="23"/>
        </w:rPr>
        <w:t>Que INFITULUÁ</w:t>
      </w:r>
      <w:r w:rsidR="0005349D">
        <w:rPr>
          <w:rFonts w:ascii="Arial" w:hAnsi="Arial" w:cs="Arial"/>
          <w:sz w:val="23"/>
          <w:szCs w:val="23"/>
        </w:rPr>
        <w:t xml:space="preserve">, </w:t>
      </w:r>
      <w:r w:rsidR="0005349D" w:rsidRPr="0005349D">
        <w:rPr>
          <w:rFonts w:ascii="Arial" w:hAnsi="Arial" w:cs="Arial"/>
          <w:sz w:val="23"/>
          <w:szCs w:val="23"/>
        </w:rPr>
        <w:t xml:space="preserve"> tiene en su patrimonio un bien inmueble denominado “Gonchecol”. Este activo se compró en el año 2006,  por un valor pagado de mil ochocientos veinticuatro millones ciento ochenta y ocho mil pesos  ($1.824.188.000), con el fin de adecuarlo y habilitarlo para desarrollar el programa de la reubicación de los vendedores informales del Municipio de Tuluá</w:t>
      </w:r>
      <w:r w:rsidR="0005349D" w:rsidRPr="0005349D">
        <w:rPr>
          <w:rFonts w:ascii="Arial" w:hAnsi="Arial" w:cs="Arial"/>
          <w:sz w:val="24"/>
          <w:szCs w:val="24"/>
        </w:rPr>
        <w:t xml:space="preserve"> </w:t>
      </w:r>
      <w:r w:rsidR="0005349D" w:rsidRPr="0005349D">
        <w:rPr>
          <w:rFonts w:ascii="Arial" w:hAnsi="Arial" w:cs="Arial"/>
          <w:sz w:val="23"/>
          <w:szCs w:val="23"/>
        </w:rPr>
        <w:t>que ocupan el espacio público</w:t>
      </w:r>
      <w:r w:rsidR="0005349D">
        <w:rPr>
          <w:rFonts w:ascii="Arial" w:hAnsi="Arial" w:cs="Arial"/>
          <w:sz w:val="23"/>
          <w:szCs w:val="23"/>
        </w:rPr>
        <w:t>.</w:t>
      </w:r>
    </w:p>
    <w:p w14:paraId="329A8DD9" w14:textId="77777777" w:rsidR="0005349D" w:rsidRPr="007D618C" w:rsidRDefault="0005349D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38E091B1" w14:textId="2E6521E4" w:rsidR="00DE5B5B" w:rsidRPr="007D618C" w:rsidRDefault="00DE5B5B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  <w:lang w:val="es-MX"/>
        </w:rPr>
        <w:t>-.</w:t>
      </w:r>
      <w:r w:rsidRPr="007D618C">
        <w:rPr>
          <w:rFonts w:ascii="Arial" w:hAnsi="Arial" w:cs="Arial"/>
          <w:sz w:val="23"/>
          <w:szCs w:val="23"/>
        </w:rPr>
        <w:t xml:space="preserve"> </w:t>
      </w:r>
      <w:r w:rsidR="0075373E" w:rsidRPr="007D618C">
        <w:rPr>
          <w:rFonts w:ascii="Arial" w:hAnsi="Arial" w:cs="Arial"/>
          <w:sz w:val="23"/>
          <w:szCs w:val="23"/>
        </w:rPr>
        <w:t xml:space="preserve">Que </w:t>
      </w:r>
      <w:r w:rsidR="0005349D" w:rsidRPr="0005349D">
        <w:rPr>
          <w:rFonts w:ascii="Arial" w:hAnsi="Arial" w:cs="Arial"/>
          <w:sz w:val="23"/>
          <w:szCs w:val="23"/>
        </w:rPr>
        <w:t xml:space="preserve">se realizaron inversiones del orden de mil trescientos noventa y cinco millones setecientos sesenta y dos mil trescientos cuarenta y siete pesos ($1.395.762.347), sin que con las </w:t>
      </w:r>
      <w:bookmarkStart w:id="0" w:name="_GoBack"/>
      <w:bookmarkEnd w:id="0"/>
      <w:r w:rsidR="0005349D" w:rsidRPr="0005349D">
        <w:rPr>
          <w:rFonts w:ascii="Arial" w:hAnsi="Arial" w:cs="Arial"/>
          <w:sz w:val="23"/>
          <w:szCs w:val="23"/>
        </w:rPr>
        <w:t>mismas, se lograra adecuar el espacio físico para ejecutar el programa</w:t>
      </w:r>
      <w:r w:rsidR="0005349D">
        <w:rPr>
          <w:rFonts w:ascii="Arial" w:hAnsi="Arial" w:cs="Arial"/>
          <w:sz w:val="23"/>
          <w:szCs w:val="23"/>
        </w:rPr>
        <w:t>.</w:t>
      </w:r>
      <w:r w:rsidRPr="007D618C">
        <w:rPr>
          <w:rFonts w:ascii="Arial" w:hAnsi="Arial" w:cs="Arial"/>
          <w:sz w:val="23"/>
          <w:szCs w:val="23"/>
        </w:rPr>
        <w:t xml:space="preserve"> </w:t>
      </w:r>
    </w:p>
    <w:p w14:paraId="1A41F2CE" w14:textId="77777777" w:rsidR="006206CA" w:rsidRPr="007D618C" w:rsidRDefault="006206CA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F909DA3" w14:textId="7EED7141" w:rsidR="009A516D" w:rsidRDefault="00CA5437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- </w:t>
      </w:r>
      <w:r w:rsidR="009A516D" w:rsidRPr="007D618C">
        <w:rPr>
          <w:rFonts w:ascii="Arial" w:hAnsi="Arial" w:cs="Arial"/>
          <w:sz w:val="23"/>
          <w:szCs w:val="23"/>
        </w:rPr>
        <w:t xml:space="preserve">Que </w:t>
      </w:r>
      <w:r w:rsidR="0005349D" w:rsidRPr="0005349D">
        <w:rPr>
          <w:rFonts w:ascii="Arial" w:hAnsi="Arial" w:cs="Arial"/>
          <w:sz w:val="23"/>
          <w:szCs w:val="23"/>
        </w:rPr>
        <w:t>En el año 2008 se presenta el cambio de administración municipal y el programa de reubicación se suspendió, sin que a la fecha se obtuvieran los resultados previstos, en primer lugar, adecuarlo para desarrollar actividades con  vocación comercial y como segundo, reubicar a los vendedores ambulantes</w:t>
      </w:r>
      <w:r w:rsidR="0005349D">
        <w:rPr>
          <w:rFonts w:ascii="Arial" w:hAnsi="Arial" w:cs="Arial"/>
          <w:sz w:val="23"/>
          <w:szCs w:val="23"/>
        </w:rPr>
        <w:t>.</w:t>
      </w:r>
    </w:p>
    <w:p w14:paraId="59752A87" w14:textId="77777777" w:rsidR="0005349D" w:rsidRPr="007D618C" w:rsidRDefault="0005349D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9FC4928" w14:textId="3A6BE8C2" w:rsidR="00F669EC" w:rsidRPr="007D618C" w:rsidRDefault="00CA5437" w:rsidP="00F40ACA">
      <w:pPr>
        <w:widowControl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-</w:t>
      </w:r>
      <w:r w:rsidR="00F669EC" w:rsidRPr="007D618C">
        <w:rPr>
          <w:rFonts w:ascii="Arial" w:hAnsi="Arial" w:cs="Arial"/>
          <w:sz w:val="23"/>
          <w:szCs w:val="23"/>
        </w:rPr>
        <w:t xml:space="preserve"> </w:t>
      </w:r>
      <w:r w:rsidR="009A516D" w:rsidRPr="007D618C">
        <w:rPr>
          <w:rFonts w:ascii="Arial" w:hAnsi="Arial" w:cs="Arial"/>
          <w:sz w:val="23"/>
          <w:szCs w:val="23"/>
        </w:rPr>
        <w:t xml:space="preserve">Que </w:t>
      </w:r>
      <w:r w:rsidR="0005349D">
        <w:rPr>
          <w:rFonts w:ascii="Arial" w:hAnsi="Arial" w:cs="Arial"/>
          <w:sz w:val="23"/>
          <w:szCs w:val="23"/>
        </w:rPr>
        <w:t xml:space="preserve">en el espacio denominado GONCHECOL, existe un inventario de materiales </w:t>
      </w:r>
      <w:r w:rsidR="00C82D0D">
        <w:rPr>
          <w:rFonts w:ascii="Arial" w:hAnsi="Arial" w:cs="Arial"/>
          <w:sz w:val="23"/>
          <w:szCs w:val="23"/>
        </w:rPr>
        <w:t>como residuo de operaciones pasadas.</w:t>
      </w:r>
    </w:p>
    <w:p w14:paraId="1018EEFB" w14:textId="7D3E5BD5" w:rsidR="004424BF" w:rsidRPr="007D618C" w:rsidRDefault="004424BF" w:rsidP="00F40AC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14:paraId="2794DA24" w14:textId="26F8DF4C" w:rsidR="00EF7450" w:rsidRPr="007D618C" w:rsidRDefault="004424B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  <w:r w:rsidRPr="007D618C">
        <w:rPr>
          <w:rFonts w:ascii="Arial" w:hAnsi="Arial" w:cs="Arial"/>
          <w:sz w:val="23"/>
          <w:szCs w:val="23"/>
        </w:rPr>
        <w:t>-</w:t>
      </w:r>
      <w:r w:rsidR="004B4422" w:rsidRPr="007D618C">
        <w:rPr>
          <w:rFonts w:ascii="Arial" w:hAnsi="Arial" w:cs="Arial"/>
          <w:sz w:val="23"/>
          <w:szCs w:val="23"/>
        </w:rPr>
        <w:t xml:space="preserve"> Que por tal motivo INFITULUA requiere </w:t>
      </w:r>
      <w:r w:rsidR="00BE0133" w:rsidRPr="007D618C">
        <w:rPr>
          <w:rFonts w:ascii="Arial" w:hAnsi="Arial" w:cs="Arial"/>
          <w:sz w:val="23"/>
          <w:szCs w:val="23"/>
        </w:rPr>
        <w:t xml:space="preserve">contar con la participación de un grupo de personas </w:t>
      </w:r>
      <w:r w:rsidR="004B4422" w:rsidRPr="007D618C">
        <w:rPr>
          <w:rFonts w:ascii="Arial" w:hAnsi="Arial" w:cs="Arial"/>
          <w:sz w:val="23"/>
          <w:szCs w:val="23"/>
        </w:rPr>
        <w:t>idónea</w:t>
      </w:r>
      <w:r w:rsidR="00BE0133" w:rsidRPr="007D618C">
        <w:rPr>
          <w:rFonts w:ascii="Arial" w:hAnsi="Arial" w:cs="Arial"/>
          <w:sz w:val="23"/>
          <w:szCs w:val="23"/>
        </w:rPr>
        <w:t>s</w:t>
      </w:r>
      <w:r w:rsidR="00A84AC3" w:rsidRPr="007D618C">
        <w:rPr>
          <w:rFonts w:ascii="Arial" w:hAnsi="Arial" w:cs="Arial"/>
          <w:sz w:val="23"/>
          <w:szCs w:val="23"/>
        </w:rPr>
        <w:t xml:space="preserve"> y</w:t>
      </w:r>
      <w:r w:rsidR="004B4422" w:rsidRPr="007D618C">
        <w:rPr>
          <w:rFonts w:ascii="Arial" w:hAnsi="Arial" w:cs="Arial"/>
          <w:sz w:val="23"/>
          <w:szCs w:val="23"/>
        </w:rPr>
        <w:t xml:space="preserve"> con experiencia, en el manejo de las </w:t>
      </w:r>
      <w:r w:rsidR="00C82D0D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>actividades de aseo, logística y</w:t>
      </w:r>
      <w:r w:rsidR="004B4422" w:rsidRPr="007D618C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 xml:space="preserve"> supervisión</w:t>
      </w:r>
      <w:r w:rsidR="00DC15F7" w:rsidRPr="007D618C">
        <w:rPr>
          <w:rFonts w:ascii="Arial" w:hAnsi="Arial" w:cs="Arial"/>
          <w:sz w:val="23"/>
          <w:szCs w:val="23"/>
        </w:rPr>
        <w:t>,</w:t>
      </w:r>
      <w:r w:rsidR="00C82D0D">
        <w:rPr>
          <w:rFonts w:ascii="Arial" w:hAnsi="Arial" w:cs="Arial"/>
          <w:sz w:val="23"/>
          <w:szCs w:val="23"/>
        </w:rPr>
        <w:t xml:space="preserve"> para velar por el cuidado de dicho predio, t</w:t>
      </w:r>
      <w:r w:rsidR="00DC15F7" w:rsidRPr="007D618C">
        <w:rPr>
          <w:rFonts w:ascii="Arial" w:hAnsi="Arial" w:cs="Arial"/>
          <w:sz w:val="23"/>
          <w:szCs w:val="23"/>
        </w:rPr>
        <w:t>eniendo en cuenta que INFITULUA no cuenta con el personal su</w:t>
      </w:r>
      <w:r w:rsidR="001115B7" w:rsidRPr="007D618C">
        <w:rPr>
          <w:rFonts w:ascii="Arial" w:hAnsi="Arial" w:cs="Arial"/>
          <w:sz w:val="23"/>
          <w:szCs w:val="23"/>
        </w:rPr>
        <w:t xml:space="preserve">ficiente en su planta de cargos para cubrir estas </w:t>
      </w:r>
      <w:r w:rsidR="00CF0ED9" w:rsidRPr="007D618C">
        <w:rPr>
          <w:rFonts w:ascii="Arial" w:hAnsi="Arial" w:cs="Arial"/>
          <w:sz w:val="23"/>
          <w:szCs w:val="23"/>
        </w:rPr>
        <w:t>labores</w:t>
      </w:r>
      <w:r w:rsidR="00EF7450" w:rsidRPr="007D618C">
        <w:rPr>
          <w:rFonts w:ascii="Arial" w:hAnsi="Arial" w:cs="Arial"/>
          <w:sz w:val="23"/>
          <w:szCs w:val="23"/>
          <w:lang w:val="es-CO" w:eastAsia="es-CO"/>
        </w:rPr>
        <w:t>.</w:t>
      </w:r>
    </w:p>
    <w:p w14:paraId="14817172" w14:textId="77777777" w:rsidR="00127836" w:rsidRDefault="00127836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004FC5DC" w14:textId="77777777" w:rsidR="00306C33" w:rsidRPr="007D618C" w:rsidRDefault="00306C33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44E9D823" w14:textId="77777777" w:rsidR="00CA5437" w:rsidRPr="007D618C" w:rsidRDefault="00CA5437" w:rsidP="00F40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OBJETO A CONTRATAR</w:t>
      </w:r>
    </w:p>
    <w:p w14:paraId="5A15999E" w14:textId="77777777" w:rsidR="00291A3E" w:rsidRPr="007D618C" w:rsidRDefault="00291A3E" w:rsidP="00F40A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09B3399D" w14:textId="461FB8F5" w:rsidR="0043630B" w:rsidRPr="007D618C" w:rsidRDefault="00CA5437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3"/>
          <w:szCs w:val="23"/>
        </w:rPr>
      </w:pPr>
      <w:r w:rsidRPr="007D618C">
        <w:rPr>
          <w:rFonts w:ascii="Arial" w:hAnsi="Arial" w:cs="Arial"/>
          <w:bCs/>
          <w:i/>
          <w:sz w:val="23"/>
          <w:szCs w:val="23"/>
        </w:rPr>
        <w:t>Identificación del Objeto Contractual</w:t>
      </w:r>
      <w:r w:rsidRPr="007D618C">
        <w:rPr>
          <w:rFonts w:ascii="Arial" w:hAnsi="Arial" w:cs="Arial"/>
          <w:b/>
          <w:bCs/>
          <w:i/>
          <w:sz w:val="23"/>
          <w:szCs w:val="23"/>
        </w:rPr>
        <w:t>:</w:t>
      </w:r>
      <w:r w:rsidRPr="007D618C">
        <w:rPr>
          <w:rFonts w:ascii="Arial" w:hAnsi="Arial" w:cs="Arial"/>
          <w:b/>
          <w:bCs/>
          <w:sz w:val="23"/>
          <w:szCs w:val="23"/>
        </w:rPr>
        <w:t xml:space="preserve"> </w:t>
      </w:r>
      <w:r w:rsidR="00C82D0D" w:rsidRPr="00C82D0D">
        <w:rPr>
          <w:rFonts w:ascii="Arial" w:hAnsi="Arial" w:cs="Arial"/>
          <w:sz w:val="23"/>
          <w:szCs w:val="23"/>
        </w:rPr>
        <w:t xml:space="preserve">PRESTAR LOS  SERVICIOS DE APOYO  A LA GESTIÓN EN EL INSTITUTO DE FINANCIAMIENTO, PROMOCIÓN Y DESARROLLO DE TULUA, INFITULUA PARA REALIZAR ACTIVIDADES DE </w:t>
      </w:r>
      <w:r w:rsidR="00C82D0D" w:rsidRPr="00C82D0D">
        <w:rPr>
          <w:rFonts w:ascii="Arial" w:hAnsi="Arial" w:cs="Arial"/>
          <w:b/>
          <w:sz w:val="23"/>
          <w:szCs w:val="23"/>
        </w:rPr>
        <w:t xml:space="preserve"> </w:t>
      </w:r>
      <w:r w:rsidR="00C82D0D" w:rsidRPr="00C82D0D">
        <w:rPr>
          <w:rFonts w:ascii="Arial" w:hAnsi="Arial" w:cs="Arial"/>
          <w:sz w:val="23"/>
          <w:szCs w:val="23"/>
        </w:rPr>
        <w:t>SERVICIOS DE CONSERJERÍA, ASEO, LOGÍSTICA Y SUPERVISION EN LAS INSTALACIONES DEL PREDIO DENOMINADO GONCHECOL</w:t>
      </w:r>
      <w:r w:rsidR="00C82D0D">
        <w:rPr>
          <w:rFonts w:ascii="Arial" w:hAnsi="Arial" w:cs="Arial"/>
          <w:sz w:val="23"/>
          <w:szCs w:val="23"/>
        </w:rPr>
        <w:t>.</w:t>
      </w:r>
    </w:p>
    <w:p w14:paraId="3BB5EF23" w14:textId="77777777" w:rsidR="0067722C" w:rsidRPr="007D618C" w:rsidRDefault="0067722C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DA3E6E8" w14:textId="77777777" w:rsidR="005E42A0" w:rsidRPr="007D618C" w:rsidRDefault="00CA5437" w:rsidP="00F40ACA">
      <w:pPr>
        <w:pStyle w:val="Default"/>
        <w:jc w:val="both"/>
        <w:rPr>
          <w:color w:val="auto"/>
          <w:sz w:val="23"/>
          <w:szCs w:val="23"/>
        </w:rPr>
      </w:pPr>
      <w:r w:rsidRPr="007D618C">
        <w:rPr>
          <w:bCs/>
          <w:i/>
          <w:color w:val="auto"/>
          <w:sz w:val="23"/>
          <w:szCs w:val="23"/>
        </w:rPr>
        <w:t xml:space="preserve">Especificaciones del bien o Servicios: </w:t>
      </w:r>
    </w:p>
    <w:p w14:paraId="23DE4047" w14:textId="77777777" w:rsidR="00CA5437" w:rsidRPr="007D618C" w:rsidRDefault="005E42A0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7D618C">
        <w:rPr>
          <w:rFonts w:ascii="Arial" w:hAnsi="Arial" w:cs="Arial"/>
          <w:i/>
          <w:iCs/>
          <w:sz w:val="23"/>
          <w:szCs w:val="23"/>
        </w:rPr>
        <w:lastRenderedPageBreak/>
        <w:t xml:space="preserve">Contratos de prestación de servicios profesionales </w:t>
      </w:r>
      <w:r w:rsidRPr="007D618C">
        <w:rPr>
          <w:rFonts w:ascii="Arial" w:hAnsi="Arial" w:cs="Arial"/>
          <w:sz w:val="23"/>
          <w:szCs w:val="23"/>
        </w:rPr>
        <w:t xml:space="preserve">y </w:t>
      </w:r>
      <w:r w:rsidRPr="007D618C">
        <w:rPr>
          <w:rFonts w:ascii="Arial" w:hAnsi="Arial" w:cs="Arial"/>
          <w:i/>
          <w:iCs/>
          <w:sz w:val="23"/>
          <w:szCs w:val="23"/>
        </w:rPr>
        <w:t xml:space="preserve">de apoyo </w:t>
      </w:r>
      <w:r w:rsidRPr="007D618C">
        <w:rPr>
          <w:rFonts w:ascii="Arial" w:hAnsi="Arial" w:cs="Arial"/>
          <w:sz w:val="23"/>
          <w:szCs w:val="23"/>
        </w:rPr>
        <w:t xml:space="preserve">a </w:t>
      </w:r>
      <w:r w:rsidRPr="007D618C">
        <w:rPr>
          <w:rFonts w:ascii="Arial" w:hAnsi="Arial" w:cs="Arial"/>
          <w:i/>
          <w:iCs/>
          <w:sz w:val="23"/>
          <w:szCs w:val="23"/>
        </w:rPr>
        <w:t>la gestión</w:t>
      </w:r>
    </w:p>
    <w:p w14:paraId="2054B026" w14:textId="77777777" w:rsidR="00CA5437" w:rsidRPr="007D618C" w:rsidRDefault="00CA5437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14:paraId="6BF658CD" w14:textId="77777777" w:rsidR="00CA5437" w:rsidRDefault="00F93855" w:rsidP="00F40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ANÁLISIS TÉCNICO.</w:t>
      </w:r>
    </w:p>
    <w:p w14:paraId="0F6644F1" w14:textId="77777777" w:rsidR="00306C33" w:rsidRPr="007D618C" w:rsidRDefault="00306C33" w:rsidP="00306C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29FABF69" w14:textId="77777777" w:rsidR="00CA5437" w:rsidRPr="007D618C" w:rsidRDefault="00CA5437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138DDAB7" w14:textId="77777777" w:rsidR="00A938E4" w:rsidRDefault="00C74119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Que el artículo 2 numeral 4 literal h) de la Ley 1150 de 2007, dispone que la Entidad puede contratar directamente cuando se trate de prestación de servicios profesionales y de apoyo a la gestión, o para la ejecución de trabajos artísticos que solo pueden encomendarse a determinadas personas naturales, para desarrollar las siguientes actividades:</w:t>
      </w:r>
    </w:p>
    <w:p w14:paraId="1DC2EECC" w14:textId="77777777" w:rsidR="00C82D0D" w:rsidRPr="007D618C" w:rsidRDefault="00C82D0D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4545B44" w14:textId="77777777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>1. Ejercer las actividades de aseo y logística en el predio de GONCHECOL.</w:t>
      </w:r>
    </w:p>
    <w:p w14:paraId="305487F7" w14:textId="2E25A962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>2. Prestar los servicios de conserjería en predio de GONCHECOL.</w:t>
      </w:r>
    </w:p>
    <w:p w14:paraId="766D36D4" w14:textId="3565CEFF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 xml:space="preserve">3. Realizar las rondas rutinarias con el fin de impedir la entrada de personal no autorizado. </w:t>
      </w:r>
    </w:p>
    <w:p w14:paraId="04DB3C9D" w14:textId="77777777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 xml:space="preserve">4. Participar en las Jornadas de aseo y limpieza programadas. </w:t>
      </w:r>
    </w:p>
    <w:p w14:paraId="47ACBD41" w14:textId="77777777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 xml:space="preserve">5. Informar oportunamente a  INFITULUA,  las novedades y anomalías que se presenten. </w:t>
      </w:r>
    </w:p>
    <w:p w14:paraId="1BEF6A72" w14:textId="77777777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 xml:space="preserve">6. Operar con responsabilidad los equipos y herramientas suministrados por INFITULUA. </w:t>
      </w:r>
    </w:p>
    <w:p w14:paraId="11EB18EC" w14:textId="77777777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 xml:space="preserve">7. Presentar informes mensuales de las actividades cumplidas. </w:t>
      </w:r>
    </w:p>
    <w:p w14:paraId="276A9949" w14:textId="77777777" w:rsidR="00C82D0D" w:rsidRPr="00C82D0D" w:rsidRDefault="00C82D0D" w:rsidP="00C82D0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82D0D">
        <w:rPr>
          <w:rFonts w:ascii="Arial" w:hAnsi="Arial" w:cs="Arial"/>
          <w:sz w:val="23"/>
          <w:szCs w:val="23"/>
        </w:rPr>
        <w:t xml:space="preserve">8. Afiliarse a un sistema de salud  y pensión y riesgos profesionales previstos en el artículo 282 de la Ley 100 de 1993 y presentar las respectivas fotocopias de afiliación y autoliquidación canceladas, previamente al pago. </w:t>
      </w:r>
    </w:p>
    <w:p w14:paraId="578F43B7" w14:textId="77777777" w:rsidR="00C82D0D" w:rsidRDefault="00C82D0D" w:rsidP="00F40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DB57A" w14:textId="3F873D92" w:rsidR="00D967E4" w:rsidRPr="007D618C" w:rsidRDefault="00D967E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  <w:r w:rsidRPr="007D618C">
        <w:rPr>
          <w:rFonts w:ascii="Arial" w:hAnsi="Arial" w:cs="Arial"/>
          <w:sz w:val="23"/>
          <w:szCs w:val="23"/>
          <w:lang w:val="es-CO" w:eastAsia="es-CO"/>
        </w:rPr>
        <w:t xml:space="preserve">Para la ejecución del contrato el </w:t>
      </w:r>
      <w:r w:rsidR="00291A3E" w:rsidRPr="007D618C">
        <w:rPr>
          <w:rFonts w:ascii="Arial" w:hAnsi="Arial" w:cs="Arial"/>
          <w:sz w:val="23"/>
          <w:szCs w:val="23"/>
          <w:lang w:val="es-CO" w:eastAsia="es-CO"/>
        </w:rPr>
        <w:t>contratista deberá</w:t>
      </w:r>
      <w:r w:rsidRPr="007D618C">
        <w:rPr>
          <w:rFonts w:ascii="Arial" w:hAnsi="Arial" w:cs="Arial"/>
          <w:sz w:val="23"/>
          <w:szCs w:val="23"/>
          <w:lang w:val="es-CO" w:eastAsia="es-CO"/>
        </w:rPr>
        <w:t xml:space="preserve"> tener como mínimo:</w:t>
      </w:r>
    </w:p>
    <w:p w14:paraId="558800D4" w14:textId="77777777" w:rsidR="00D967E4" w:rsidRPr="007D618C" w:rsidRDefault="00D967E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5D94BA6D" w14:textId="1DB0B836" w:rsidR="00D967E4" w:rsidRPr="00CA6DA4" w:rsidRDefault="00BA2249" w:rsidP="00F40ACA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  <w:r w:rsidRPr="00CA6DA4">
        <w:rPr>
          <w:rFonts w:ascii="Arial" w:hAnsi="Arial" w:cs="Arial"/>
          <w:sz w:val="23"/>
          <w:szCs w:val="23"/>
          <w:lang w:val="es-CO" w:eastAsia="es-CO"/>
        </w:rPr>
        <w:t xml:space="preserve">Experiencia </w:t>
      </w:r>
      <w:r w:rsidR="00C07770" w:rsidRPr="00CA6DA4">
        <w:rPr>
          <w:rFonts w:ascii="Arial" w:hAnsi="Arial" w:cs="Arial"/>
          <w:sz w:val="23"/>
          <w:szCs w:val="23"/>
          <w:lang w:val="es-CO" w:eastAsia="es-CO"/>
        </w:rPr>
        <w:t xml:space="preserve">como mínimo </w:t>
      </w:r>
      <w:r w:rsidR="00CA6DA4" w:rsidRPr="00CA6DA4">
        <w:rPr>
          <w:rFonts w:ascii="Arial" w:hAnsi="Arial" w:cs="Arial"/>
          <w:sz w:val="23"/>
          <w:szCs w:val="23"/>
          <w:lang w:val="es-CO" w:eastAsia="es-CO"/>
        </w:rPr>
        <w:t>de seis meses</w:t>
      </w:r>
      <w:r w:rsidRPr="00CA6DA4">
        <w:rPr>
          <w:rFonts w:ascii="Arial" w:hAnsi="Arial" w:cs="Arial"/>
          <w:sz w:val="23"/>
          <w:szCs w:val="23"/>
          <w:lang w:val="es-CO" w:eastAsia="es-CO"/>
        </w:rPr>
        <w:t>, en alguno de estos</w:t>
      </w:r>
      <w:r w:rsidR="00E05226" w:rsidRPr="00CA6DA4">
        <w:rPr>
          <w:rFonts w:ascii="Arial" w:hAnsi="Arial" w:cs="Arial"/>
          <w:sz w:val="23"/>
          <w:szCs w:val="23"/>
          <w:lang w:val="es-CO" w:eastAsia="es-CO"/>
        </w:rPr>
        <w:t xml:space="preserve"> </w:t>
      </w:r>
      <w:r w:rsidRPr="00CA6DA4">
        <w:rPr>
          <w:rFonts w:ascii="Arial" w:hAnsi="Arial" w:cs="Arial"/>
          <w:sz w:val="23"/>
          <w:szCs w:val="23"/>
          <w:lang w:eastAsia="es-CO"/>
        </w:rPr>
        <w:t>servicios;</w:t>
      </w:r>
      <w:r w:rsidR="00E05226" w:rsidRPr="00CA6DA4">
        <w:rPr>
          <w:rFonts w:ascii="Arial" w:hAnsi="Arial" w:cs="Arial"/>
          <w:sz w:val="23"/>
          <w:szCs w:val="23"/>
          <w:lang w:eastAsia="es-CO"/>
        </w:rPr>
        <w:t xml:space="preserve"> conserjería</w:t>
      </w:r>
      <w:r w:rsidR="00D46C1D" w:rsidRPr="00CA6DA4">
        <w:rPr>
          <w:rFonts w:ascii="Arial" w:hAnsi="Arial" w:cs="Arial"/>
          <w:sz w:val="23"/>
          <w:szCs w:val="23"/>
          <w:lang w:eastAsia="es-CO"/>
        </w:rPr>
        <w:t>,</w:t>
      </w:r>
      <w:r w:rsidR="00E05226" w:rsidRPr="00CA6DA4">
        <w:rPr>
          <w:rFonts w:ascii="Arial" w:hAnsi="Arial" w:cs="Arial"/>
          <w:sz w:val="23"/>
          <w:szCs w:val="23"/>
          <w:lang w:eastAsia="es-CO"/>
        </w:rPr>
        <w:t xml:space="preserve"> aseo</w:t>
      </w:r>
      <w:r w:rsidR="00D46C1D" w:rsidRPr="00CA6DA4">
        <w:rPr>
          <w:rFonts w:ascii="Arial" w:hAnsi="Arial" w:cs="Arial"/>
          <w:sz w:val="23"/>
          <w:szCs w:val="23"/>
          <w:lang w:eastAsia="es-CO"/>
        </w:rPr>
        <w:t>,</w:t>
      </w:r>
      <w:r w:rsidR="00E05226" w:rsidRPr="00CA6DA4">
        <w:rPr>
          <w:rFonts w:ascii="Arial" w:hAnsi="Arial" w:cs="Arial"/>
          <w:sz w:val="23"/>
          <w:szCs w:val="23"/>
          <w:lang w:eastAsia="es-CO"/>
        </w:rPr>
        <w:t xml:space="preserve"> logística, supervisi</w:t>
      </w:r>
      <w:r w:rsidR="00020C2C" w:rsidRPr="00CA6DA4">
        <w:rPr>
          <w:rFonts w:ascii="Arial" w:hAnsi="Arial" w:cs="Arial"/>
          <w:sz w:val="23"/>
          <w:szCs w:val="23"/>
          <w:lang w:eastAsia="es-CO"/>
        </w:rPr>
        <w:t>ón ó</w:t>
      </w:r>
      <w:r w:rsidR="00E05226" w:rsidRPr="00CA6DA4">
        <w:rPr>
          <w:rFonts w:ascii="Arial" w:hAnsi="Arial" w:cs="Arial"/>
          <w:sz w:val="23"/>
          <w:szCs w:val="23"/>
          <w:lang w:eastAsia="es-CO"/>
        </w:rPr>
        <w:t xml:space="preserve"> coordinación</w:t>
      </w:r>
      <w:r w:rsidR="00D967E4" w:rsidRPr="00CA6DA4">
        <w:rPr>
          <w:rFonts w:ascii="Arial" w:hAnsi="Arial" w:cs="Arial"/>
          <w:sz w:val="23"/>
          <w:szCs w:val="23"/>
          <w:lang w:val="es-CO" w:eastAsia="es-CO"/>
        </w:rPr>
        <w:t>.</w:t>
      </w:r>
    </w:p>
    <w:p w14:paraId="2DC0D9A4" w14:textId="77777777" w:rsidR="002F7D2F" w:rsidRPr="007D618C" w:rsidRDefault="002F7D2F" w:rsidP="00F40ACA">
      <w:pPr>
        <w:pStyle w:val="Prrafodelista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5A6A2D96" w14:textId="77777777" w:rsidR="002F7D2F" w:rsidRPr="007D618C" w:rsidRDefault="0029031F" w:rsidP="00F40ACA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  <w:r w:rsidRPr="007D618C">
        <w:rPr>
          <w:rFonts w:ascii="Arial" w:hAnsi="Arial" w:cs="Arial"/>
          <w:sz w:val="23"/>
          <w:szCs w:val="23"/>
          <w:lang w:val="es-CO" w:eastAsia="es-CO"/>
        </w:rPr>
        <w:t>Que</w:t>
      </w:r>
      <w:r w:rsidR="00D43B46" w:rsidRPr="007D618C">
        <w:rPr>
          <w:rFonts w:ascii="Arial" w:hAnsi="Arial" w:cs="Arial"/>
          <w:sz w:val="23"/>
          <w:szCs w:val="23"/>
        </w:rPr>
        <w:t xml:space="preserve"> tenga</w:t>
      </w:r>
      <w:r w:rsidR="00C07770" w:rsidRPr="007D618C">
        <w:rPr>
          <w:rFonts w:ascii="Arial" w:hAnsi="Arial" w:cs="Arial"/>
          <w:sz w:val="23"/>
          <w:szCs w:val="23"/>
        </w:rPr>
        <w:t>n</w:t>
      </w:r>
      <w:r w:rsidR="00D43B46" w:rsidRPr="007D618C">
        <w:rPr>
          <w:rFonts w:ascii="Arial" w:hAnsi="Arial" w:cs="Arial"/>
          <w:sz w:val="23"/>
          <w:szCs w:val="23"/>
        </w:rPr>
        <w:t xml:space="preserve"> Competencias como liderazgo, trabajo en equipo, agilidad para resolver asuntos de forma rápida y eficaz</w:t>
      </w:r>
      <w:r w:rsidR="00C07770" w:rsidRPr="007D618C">
        <w:rPr>
          <w:rFonts w:ascii="Arial" w:hAnsi="Arial" w:cs="Arial"/>
          <w:sz w:val="23"/>
          <w:szCs w:val="23"/>
        </w:rPr>
        <w:t>.</w:t>
      </w:r>
    </w:p>
    <w:p w14:paraId="3663B87F" w14:textId="77777777" w:rsidR="00AD58FC" w:rsidRPr="007D618C" w:rsidRDefault="00AD58FC" w:rsidP="00F40ACA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  <w:lang w:val="es-CO" w:eastAsia="es-CO"/>
        </w:rPr>
      </w:pPr>
    </w:p>
    <w:p w14:paraId="2AA9B448" w14:textId="77777777" w:rsidR="00CD177A" w:rsidRPr="007D618C" w:rsidRDefault="00CD177A" w:rsidP="00F40ACA">
      <w:pPr>
        <w:jc w:val="both"/>
        <w:rPr>
          <w:rFonts w:ascii="Arial" w:hAnsi="Arial" w:cs="Arial"/>
          <w:sz w:val="23"/>
          <w:szCs w:val="23"/>
          <w:lang w:val="es-CO" w:eastAsia="es-CO"/>
        </w:rPr>
      </w:pPr>
      <w:r w:rsidRPr="007D618C">
        <w:rPr>
          <w:rFonts w:ascii="Arial" w:hAnsi="Arial" w:cs="Arial"/>
          <w:sz w:val="23"/>
          <w:szCs w:val="23"/>
          <w:lang w:val="es-CO" w:eastAsia="es-CO"/>
        </w:rPr>
        <w:t>Cronograma del Trabajo:</w:t>
      </w:r>
    </w:p>
    <w:p w14:paraId="0A03B47A" w14:textId="39ABDBF3" w:rsidR="007D618C" w:rsidRPr="007D618C" w:rsidRDefault="0068367F" w:rsidP="00CA6DA4">
      <w:pPr>
        <w:ind w:left="360"/>
        <w:jc w:val="both"/>
        <w:rPr>
          <w:rStyle w:val="a9"/>
          <w:rFonts w:ascii="Arial" w:hAnsi="Arial" w:cs="Arial"/>
          <w:sz w:val="23"/>
          <w:szCs w:val="23"/>
          <w:lang w:val="es-CO"/>
        </w:rPr>
      </w:pPr>
      <w:r w:rsidRPr="007D618C">
        <w:rPr>
          <w:rStyle w:val="a9"/>
          <w:rFonts w:ascii="Arial" w:hAnsi="Arial" w:cs="Arial"/>
          <w:sz w:val="23"/>
          <w:szCs w:val="23"/>
          <w:lang w:val="es-CO"/>
        </w:rPr>
        <w:t>E</w:t>
      </w:r>
      <w:r w:rsidR="00CD177A" w:rsidRPr="007D618C">
        <w:rPr>
          <w:rStyle w:val="a9"/>
          <w:rFonts w:ascii="Arial" w:hAnsi="Arial" w:cs="Arial"/>
          <w:sz w:val="23"/>
          <w:szCs w:val="23"/>
          <w:lang w:val="es-CO"/>
        </w:rPr>
        <w:t xml:space="preserve">l tiempo de </w:t>
      </w:r>
      <w:r w:rsidRPr="007D618C">
        <w:rPr>
          <w:rStyle w:val="a9"/>
          <w:rFonts w:ascii="Arial" w:hAnsi="Arial" w:cs="Arial"/>
          <w:sz w:val="23"/>
          <w:szCs w:val="23"/>
          <w:lang w:val="es-CO"/>
        </w:rPr>
        <w:t>ejecución del contrato</w:t>
      </w:r>
      <w:r w:rsidR="00F51C6C" w:rsidRPr="007D618C">
        <w:rPr>
          <w:rStyle w:val="a9"/>
          <w:rFonts w:ascii="Arial" w:hAnsi="Arial" w:cs="Arial"/>
          <w:sz w:val="23"/>
          <w:szCs w:val="23"/>
          <w:lang w:val="es-CO"/>
        </w:rPr>
        <w:t xml:space="preserve"> </w:t>
      </w:r>
      <w:r w:rsidRPr="007D618C">
        <w:rPr>
          <w:rStyle w:val="a9"/>
          <w:rFonts w:ascii="Arial" w:hAnsi="Arial" w:cs="Arial"/>
          <w:sz w:val="23"/>
          <w:szCs w:val="23"/>
          <w:lang w:val="es-CO"/>
        </w:rPr>
        <w:t xml:space="preserve">será </w:t>
      </w:r>
      <w:r w:rsidR="00306C33">
        <w:rPr>
          <w:rStyle w:val="a9"/>
          <w:rFonts w:ascii="Arial" w:hAnsi="Arial" w:cs="Arial"/>
          <w:sz w:val="23"/>
          <w:szCs w:val="23"/>
          <w:lang w:val="es-CO"/>
        </w:rPr>
        <w:t>del 07</w:t>
      </w:r>
      <w:r w:rsidR="0079518A">
        <w:rPr>
          <w:rStyle w:val="a9"/>
          <w:rFonts w:ascii="Arial" w:hAnsi="Arial" w:cs="Arial"/>
          <w:sz w:val="23"/>
          <w:szCs w:val="23"/>
          <w:lang w:val="es-CO"/>
        </w:rPr>
        <w:t xml:space="preserve"> de enero de 2016 al 30 de junio de 2016</w:t>
      </w:r>
      <w:r w:rsidR="005D19C9" w:rsidRPr="007D618C">
        <w:rPr>
          <w:rStyle w:val="a9"/>
          <w:rFonts w:ascii="Arial" w:hAnsi="Arial" w:cs="Arial"/>
          <w:sz w:val="23"/>
          <w:szCs w:val="23"/>
          <w:lang w:val="es-CO"/>
        </w:rPr>
        <w:t>, a partir de la firma del acta de inicio</w:t>
      </w:r>
      <w:r w:rsidR="00F22C76" w:rsidRPr="007D618C">
        <w:rPr>
          <w:rStyle w:val="a9"/>
          <w:rFonts w:ascii="Arial" w:hAnsi="Arial" w:cs="Arial"/>
          <w:sz w:val="23"/>
          <w:szCs w:val="23"/>
          <w:lang w:val="es-CO"/>
        </w:rPr>
        <w:t>.</w:t>
      </w:r>
    </w:p>
    <w:p w14:paraId="4B2F5E13" w14:textId="77777777" w:rsidR="002E1785" w:rsidRDefault="00F93855" w:rsidP="00F40ACA">
      <w:pPr>
        <w:pStyle w:val="Prrafodelista"/>
        <w:numPr>
          <w:ilvl w:val="0"/>
          <w:numId w:val="2"/>
        </w:numPr>
        <w:jc w:val="both"/>
        <w:rPr>
          <w:rStyle w:val="a9"/>
          <w:rFonts w:ascii="Arial" w:hAnsi="Arial" w:cs="Arial"/>
          <w:sz w:val="23"/>
          <w:szCs w:val="23"/>
          <w:lang w:val="es-CO"/>
        </w:rPr>
      </w:pPr>
      <w:r w:rsidRPr="007D618C">
        <w:rPr>
          <w:rStyle w:val="a9"/>
          <w:rFonts w:ascii="Arial" w:hAnsi="Arial" w:cs="Arial"/>
          <w:sz w:val="23"/>
          <w:szCs w:val="23"/>
          <w:lang w:val="es-CO"/>
        </w:rPr>
        <w:t>CLASIFICACIÓN UNSPSC</w:t>
      </w:r>
      <w:r w:rsidR="000C4BA7" w:rsidRPr="007D618C">
        <w:rPr>
          <w:rStyle w:val="a9"/>
          <w:rFonts w:ascii="Arial" w:hAnsi="Arial" w:cs="Arial"/>
          <w:sz w:val="23"/>
          <w:szCs w:val="23"/>
          <w:lang w:val="es-CO"/>
        </w:rPr>
        <w:t>.</w:t>
      </w:r>
    </w:p>
    <w:p w14:paraId="616F97FC" w14:textId="77777777" w:rsidR="00306C33" w:rsidRPr="007D618C" w:rsidRDefault="00306C33" w:rsidP="00306C33">
      <w:pPr>
        <w:pStyle w:val="Prrafodelista"/>
        <w:ind w:left="360"/>
        <w:jc w:val="both"/>
        <w:rPr>
          <w:rStyle w:val="a9"/>
          <w:rFonts w:ascii="Arial" w:hAnsi="Arial" w:cs="Arial"/>
          <w:sz w:val="23"/>
          <w:szCs w:val="23"/>
          <w:lang w:val="es-CO"/>
        </w:rPr>
      </w:pPr>
    </w:p>
    <w:p w14:paraId="7338C9C1" w14:textId="77777777" w:rsidR="002E1785" w:rsidRPr="007D618C" w:rsidRDefault="002E1785" w:rsidP="00F40ACA">
      <w:pPr>
        <w:jc w:val="both"/>
        <w:rPr>
          <w:rFonts w:ascii="Arial" w:hAnsi="Arial" w:cs="Arial"/>
          <w:sz w:val="23"/>
          <w:szCs w:val="23"/>
          <w:lang w:val="es-CO"/>
        </w:rPr>
      </w:pPr>
      <w:r w:rsidRPr="007D618C">
        <w:rPr>
          <w:rFonts w:ascii="Arial" w:hAnsi="Arial" w:cs="Arial"/>
          <w:sz w:val="23"/>
          <w:szCs w:val="23"/>
          <w:lang w:val="es-MX" w:eastAsia="en-US"/>
        </w:rPr>
        <w:t>La clasificación de los bienes y servicios, objeto del Proceso de Contratación, son los siguientes: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735"/>
        <w:gridCol w:w="4719"/>
      </w:tblGrid>
      <w:tr w:rsidR="002E1785" w:rsidRPr="007D618C" w14:paraId="069645CD" w14:textId="77777777" w:rsidTr="004E2AFD">
        <w:trPr>
          <w:trHeight w:val="499"/>
          <w:jc w:val="center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DC8F" w14:textId="77777777" w:rsidR="002E1785" w:rsidRPr="007D618C" w:rsidRDefault="002E1785" w:rsidP="00F40A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lastRenderedPageBreak/>
              <w:t>ITEM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4613" w14:textId="77777777" w:rsidR="002E1785" w:rsidRPr="007D618C" w:rsidRDefault="002E1785" w:rsidP="00F40A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Clasificación UNSPSC</w:t>
            </w:r>
          </w:p>
        </w:tc>
        <w:tc>
          <w:tcPr>
            <w:tcW w:w="26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FE7F" w14:textId="77777777" w:rsidR="002E1785" w:rsidRPr="007D618C" w:rsidRDefault="002E1785" w:rsidP="00F40A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b/>
                <w:sz w:val="20"/>
                <w:szCs w:val="20"/>
              </w:rPr>
              <w:t xml:space="preserve"> Producto</w:t>
            </w:r>
          </w:p>
        </w:tc>
      </w:tr>
      <w:tr w:rsidR="002E1785" w:rsidRPr="007D618C" w14:paraId="289BACDD" w14:textId="77777777" w:rsidTr="004E2AFD">
        <w:trPr>
          <w:trHeight w:val="255"/>
          <w:jc w:val="center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8018" w14:textId="77777777" w:rsidR="002E1785" w:rsidRPr="007D618C" w:rsidRDefault="002E1785" w:rsidP="00F4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0285" w14:textId="77777777" w:rsidR="002E1785" w:rsidRPr="007D618C" w:rsidRDefault="004D77DA" w:rsidP="00F4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72102902</w:t>
            </w:r>
          </w:p>
        </w:tc>
        <w:tc>
          <w:tcPr>
            <w:tcW w:w="2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6E14" w14:textId="77777777" w:rsidR="002E1785" w:rsidRPr="007D618C" w:rsidRDefault="002E1785" w:rsidP="00F4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Servicio</w:t>
            </w:r>
            <w:r w:rsidR="004D77DA"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s de paisajismo</w:t>
            </w:r>
          </w:p>
        </w:tc>
      </w:tr>
      <w:tr w:rsidR="004D77DA" w:rsidRPr="007D618C" w14:paraId="506B3431" w14:textId="77777777" w:rsidTr="004E2AFD">
        <w:trPr>
          <w:trHeight w:val="245"/>
          <w:jc w:val="center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36B95" w14:textId="77777777" w:rsidR="004D77DA" w:rsidRPr="007D618C" w:rsidRDefault="004D77DA" w:rsidP="00F4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1E6C" w14:textId="77777777" w:rsidR="004D77DA" w:rsidRPr="007D618C" w:rsidRDefault="004D77DA" w:rsidP="00F4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76111506</w:t>
            </w:r>
          </w:p>
        </w:tc>
        <w:tc>
          <w:tcPr>
            <w:tcW w:w="26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319A1" w14:textId="77777777" w:rsidR="004D77DA" w:rsidRPr="007D618C" w:rsidRDefault="004D77DA" w:rsidP="00F4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D618C">
              <w:rPr>
                <w:rFonts w:ascii="Arial" w:hAnsi="Arial" w:cs="Arial"/>
                <w:sz w:val="20"/>
                <w:szCs w:val="20"/>
                <w:lang w:val="es-CO" w:eastAsia="es-CO"/>
              </w:rPr>
              <w:t>Servicio de paisajismo en plantas interiores</w:t>
            </w:r>
          </w:p>
        </w:tc>
      </w:tr>
    </w:tbl>
    <w:p w14:paraId="3BBE1BA2" w14:textId="77777777" w:rsidR="002E1785" w:rsidRPr="007D618C" w:rsidRDefault="002E1785" w:rsidP="00F40ACA">
      <w:pPr>
        <w:pStyle w:val="Prrafodelista"/>
        <w:ind w:left="360"/>
        <w:jc w:val="both"/>
        <w:rPr>
          <w:rStyle w:val="a9"/>
          <w:rFonts w:ascii="Arial" w:hAnsi="Arial" w:cs="Arial"/>
          <w:sz w:val="23"/>
          <w:szCs w:val="23"/>
        </w:rPr>
      </w:pPr>
    </w:p>
    <w:p w14:paraId="0736FBE8" w14:textId="77777777" w:rsidR="00F93855" w:rsidRDefault="002E1785" w:rsidP="00F40A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MODALIDAD DE SELECCIÓN DEL CONTRATISTA Y FUNDAMENTOS JURIDICOS.</w:t>
      </w:r>
    </w:p>
    <w:p w14:paraId="11267CDE" w14:textId="77777777" w:rsidR="00306C33" w:rsidRPr="007D618C" w:rsidRDefault="00306C33" w:rsidP="00306C33">
      <w:pPr>
        <w:pStyle w:val="Prrafodelista"/>
        <w:ind w:left="360"/>
        <w:jc w:val="both"/>
        <w:rPr>
          <w:rFonts w:ascii="Arial" w:hAnsi="Arial" w:cs="Arial"/>
          <w:sz w:val="23"/>
          <w:szCs w:val="23"/>
        </w:rPr>
      </w:pPr>
    </w:p>
    <w:p w14:paraId="636AB5E4" w14:textId="77777777" w:rsidR="002E1785" w:rsidRPr="007D618C" w:rsidRDefault="002E1785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La modalidad de Selección del presente proceso es la de Contratación Directa, de conformidad con el artículo 2, No. 4 de la Ley 1150 de 2007 y el artículo 81 del decreto 1510 de 2013, sobre contratos de prestación de servicios profesionales y apoyo a la gestión, o para la ejecución de trabajos artísticos que solo pueden encomendarse a determinadas personas naturales.</w:t>
      </w:r>
    </w:p>
    <w:p w14:paraId="0FD0D807" w14:textId="77777777" w:rsidR="00CA70A0" w:rsidRPr="007D618C" w:rsidRDefault="00CA70A0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9FC431B" w14:textId="77777777" w:rsidR="00CA70A0" w:rsidRPr="007D618C" w:rsidRDefault="009B459A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6. ESTUDIO DE MERCADO.</w:t>
      </w:r>
    </w:p>
    <w:p w14:paraId="0C90FFEF" w14:textId="77777777" w:rsidR="00306C33" w:rsidRDefault="00306C33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1B7188A" w14:textId="77777777" w:rsidR="00306C33" w:rsidRPr="007D618C" w:rsidRDefault="00306C33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7A8719E" w14:textId="11D07393" w:rsidR="0050035B" w:rsidRPr="007D618C" w:rsidRDefault="00CA6DA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E14F69" w:rsidRPr="007D618C">
        <w:rPr>
          <w:rFonts w:ascii="Arial" w:hAnsi="Arial" w:cs="Arial"/>
          <w:sz w:val="23"/>
          <w:szCs w:val="23"/>
        </w:rPr>
        <w:t xml:space="preserve">nfitulua </w:t>
      </w:r>
      <w:r w:rsidR="0050035B" w:rsidRPr="007D618C">
        <w:rPr>
          <w:rFonts w:ascii="Arial" w:hAnsi="Arial" w:cs="Arial"/>
          <w:sz w:val="23"/>
          <w:szCs w:val="23"/>
        </w:rPr>
        <w:t xml:space="preserve">analizo los procesos de contratación de las entidades compradoras asociados a la clase </w:t>
      </w:r>
      <w:r w:rsidR="00E14F69" w:rsidRPr="007D618C">
        <w:rPr>
          <w:rFonts w:ascii="Arial" w:hAnsi="Arial" w:cs="Arial"/>
          <w:sz w:val="23"/>
          <w:szCs w:val="23"/>
          <w:lang w:val="es-CO" w:eastAsia="es-CO"/>
        </w:rPr>
        <w:t>72102902</w:t>
      </w:r>
      <w:r w:rsidR="0050035B" w:rsidRPr="007D618C">
        <w:rPr>
          <w:rFonts w:ascii="Arial" w:hAnsi="Arial" w:cs="Arial"/>
          <w:sz w:val="23"/>
          <w:szCs w:val="23"/>
        </w:rPr>
        <w:t xml:space="preserve">, </w:t>
      </w:r>
      <w:r w:rsidR="00E14F69" w:rsidRPr="007D618C">
        <w:rPr>
          <w:rFonts w:ascii="Arial" w:hAnsi="Arial" w:cs="Arial"/>
          <w:sz w:val="23"/>
          <w:szCs w:val="23"/>
          <w:lang w:val="es-CO" w:eastAsia="es-CO"/>
        </w:rPr>
        <w:t>Servicios de paisajismo</w:t>
      </w:r>
      <w:r w:rsidR="0050035B" w:rsidRPr="007D618C">
        <w:rPr>
          <w:rFonts w:ascii="Arial" w:hAnsi="Arial" w:cs="Arial"/>
          <w:sz w:val="23"/>
          <w:szCs w:val="23"/>
        </w:rPr>
        <w:t>, obteniendo los siguientes procesos de contratación registrados en el SECOP:</w:t>
      </w:r>
    </w:p>
    <w:p w14:paraId="741B99B4" w14:textId="77777777" w:rsidR="00AB199C" w:rsidRPr="007D618C" w:rsidRDefault="00AB199C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1E49064" w14:textId="77777777" w:rsidR="00DF496E" w:rsidRPr="007D618C" w:rsidRDefault="00DF496E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7. ANÁLISIS ECONÓMICO</w:t>
      </w:r>
    </w:p>
    <w:tbl>
      <w:tblPr>
        <w:tblpPr w:leftFromText="141" w:rightFromText="141" w:vertAnchor="text" w:horzAnchor="margin" w:tblpY="326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587"/>
        <w:gridCol w:w="3704"/>
        <w:gridCol w:w="1322"/>
        <w:gridCol w:w="1505"/>
      </w:tblGrid>
      <w:tr w:rsidR="00E34BCE" w:rsidRPr="00E34BCE" w14:paraId="7650BBB4" w14:textId="77777777" w:rsidTr="00D00199">
        <w:trPr>
          <w:trHeight w:val="51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BDD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4B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777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4B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Entidad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354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4B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Objeto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1DB" w14:textId="34806C2F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4B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Plazo </w:t>
            </w:r>
            <w:r w:rsidR="00D00199" w:rsidRPr="00E34B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Ejecución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4D9" w14:textId="013D0969" w:rsidR="00E34BCE" w:rsidRPr="00E34BCE" w:rsidRDefault="00D00199" w:rsidP="00D00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4B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E34BCE" w:rsidRPr="00E34BCE" w14:paraId="275638F5" w14:textId="77777777" w:rsidTr="00D00199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531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262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Antioquia - Alcaldía Municipio de Campamento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289" w14:textId="77777777" w:rsidR="00E34BCE" w:rsidRPr="00E34BCE" w:rsidRDefault="00E34BCE" w:rsidP="00F40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 contratista se obliga para con el municipio a prestar sus servicios de  apoyo a la gestión de la dirección de planeación y obras públicas en actividades de  albañilería, mampostería y afines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20E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 meses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638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$ 8.100.000</w:t>
            </w:r>
          </w:p>
        </w:tc>
      </w:tr>
      <w:tr w:rsidR="00E34BCE" w:rsidRPr="00E34BCE" w14:paraId="31AD3426" w14:textId="77777777" w:rsidTr="00D00199">
        <w:trPr>
          <w:trHeight w:val="1434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716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6CB" w14:textId="77777777" w:rsidR="00E34BCE" w:rsidRPr="00E34BCE" w:rsidRDefault="001346B9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9" w:history="1">
              <w:r w:rsidR="00E34BCE" w:rsidRPr="00E34BCE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Atlántico Gran Central de Abastos del Caribe S.A</w:t>
              </w:r>
            </w:hyperlink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E61" w14:textId="77777777" w:rsidR="00E34BCE" w:rsidRPr="00E34BCE" w:rsidRDefault="00E34BCE" w:rsidP="00F40A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Servicio de adecuación de las bodegas 3a local 01 y 4b locales 24 y 25; 14 y 15; 03 y 16; 04 y 17 de la gran central de abastos del caribe S.A.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47C3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 días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C97" w14:textId="77777777" w:rsidR="00E34BCE" w:rsidRPr="00E34BCE" w:rsidRDefault="00E34BCE" w:rsidP="00D00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34BC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$ 13.000.000</w:t>
            </w:r>
          </w:p>
        </w:tc>
      </w:tr>
    </w:tbl>
    <w:p w14:paraId="43F1A09F" w14:textId="77777777" w:rsidR="008944BF" w:rsidRDefault="008944BF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835401F" w14:textId="77777777" w:rsidR="00306C33" w:rsidRPr="007D618C" w:rsidRDefault="00306C33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ABD53F" w14:textId="77777777" w:rsidR="00594931" w:rsidRPr="007D618C" w:rsidRDefault="00594931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0620916E" w14:textId="77777777" w:rsidR="008944BF" w:rsidRPr="007D618C" w:rsidRDefault="000007E4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7D618C">
        <w:rPr>
          <w:rFonts w:ascii="Arial" w:hAnsi="Arial" w:cs="Arial"/>
          <w:sz w:val="23"/>
          <w:szCs w:val="23"/>
          <w:lang w:val="es-MX"/>
        </w:rPr>
        <w:t>8</w:t>
      </w:r>
      <w:r w:rsidR="00336104" w:rsidRPr="007D618C">
        <w:rPr>
          <w:rFonts w:ascii="Arial" w:hAnsi="Arial" w:cs="Arial"/>
          <w:sz w:val="23"/>
          <w:szCs w:val="23"/>
          <w:lang w:val="es-MX"/>
        </w:rPr>
        <w:t>. VARIABLES CONSIDERADAS PARA CALCULAR EL PRESUPUESTO OFICIAL.</w:t>
      </w:r>
    </w:p>
    <w:p w14:paraId="2A77DDA3" w14:textId="77777777" w:rsidR="008944BF" w:rsidRDefault="008944BF" w:rsidP="00F40A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14:paraId="0DE9C4E0" w14:textId="77777777" w:rsidR="00306C33" w:rsidRPr="007D618C" w:rsidRDefault="00306C33" w:rsidP="00F40A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3"/>
          <w:szCs w:val="23"/>
          <w:lang w:val="es-MX"/>
        </w:rPr>
      </w:pPr>
    </w:p>
    <w:p w14:paraId="537E844A" w14:textId="2C17ECC5" w:rsidR="008944BF" w:rsidRPr="007D618C" w:rsidRDefault="00485180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</w:pPr>
      <w:r w:rsidRPr="007D618C">
        <w:rPr>
          <w:rFonts w:ascii="Arial" w:hAnsi="Arial" w:cs="Arial"/>
          <w:sz w:val="23"/>
          <w:szCs w:val="23"/>
        </w:rPr>
        <w:t xml:space="preserve">INFITULUA requiere contar con unas personas naturales e idóneas y con experiencia en el manejo de las </w:t>
      </w:r>
      <w:r w:rsidRPr="007D618C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>actividades de aseo, logística,</w:t>
      </w:r>
      <w:r w:rsidR="00594931" w:rsidRPr="007D618C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 xml:space="preserve"> </w:t>
      </w:r>
      <w:r w:rsidRPr="007D618C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 xml:space="preserve">supervisión y coordinación para </w:t>
      </w:r>
      <w:r w:rsidR="00306C33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lastRenderedPageBreak/>
        <w:t>ejercer</w:t>
      </w:r>
      <w:r w:rsidRPr="007D618C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 xml:space="preserve"> estas labores en </w:t>
      </w:r>
      <w:r w:rsidR="00306C33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>Gonchecol</w:t>
      </w:r>
      <w:r w:rsidRPr="007D618C">
        <w:rPr>
          <w:rFonts w:ascii="Arial" w:eastAsiaTheme="minorHAnsi" w:hAnsi="Arial" w:cs="Arial"/>
          <w:sz w:val="23"/>
          <w:szCs w:val="23"/>
          <w:shd w:val="clear" w:color="auto" w:fill="FFFFFF"/>
          <w:lang w:val="es-CO" w:eastAsia="en-US"/>
        </w:rPr>
        <w:t>, como se han venido desarrollando, para así mantener y mejorar el estado de estos bienes públicos.</w:t>
      </w:r>
    </w:p>
    <w:p w14:paraId="37A5EF10" w14:textId="77777777" w:rsidR="00485180" w:rsidRPr="007D618C" w:rsidRDefault="00485180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3D10D07" w14:textId="34EE4522" w:rsidR="008944BF" w:rsidRPr="007D618C" w:rsidRDefault="00024EA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Que </w:t>
      </w:r>
      <w:r w:rsidR="002F6332" w:rsidRPr="007D618C">
        <w:rPr>
          <w:rFonts w:ascii="Arial" w:hAnsi="Arial" w:cs="Arial"/>
          <w:sz w:val="23"/>
          <w:szCs w:val="23"/>
        </w:rPr>
        <w:t>el Instituto de Financiamiento, Promoción y Desarrollo de Tuluá, no cuenta con el</w:t>
      </w:r>
      <w:r w:rsidRPr="007D618C">
        <w:rPr>
          <w:rFonts w:ascii="Arial" w:hAnsi="Arial" w:cs="Arial"/>
          <w:sz w:val="23"/>
          <w:szCs w:val="23"/>
        </w:rPr>
        <w:t xml:space="preserve"> personal de planta que pueda desarrollar la actividad</w:t>
      </w:r>
      <w:r w:rsidR="002F6332" w:rsidRPr="007D618C">
        <w:rPr>
          <w:rFonts w:ascii="Arial" w:hAnsi="Arial" w:cs="Arial"/>
          <w:sz w:val="23"/>
          <w:szCs w:val="23"/>
        </w:rPr>
        <w:t>es</w:t>
      </w:r>
      <w:r w:rsidRPr="007D618C">
        <w:rPr>
          <w:rFonts w:ascii="Arial" w:hAnsi="Arial" w:cs="Arial"/>
          <w:sz w:val="23"/>
          <w:szCs w:val="23"/>
        </w:rPr>
        <w:t xml:space="preserve"> que se requiere</w:t>
      </w:r>
      <w:r w:rsidR="002F6332" w:rsidRPr="007D618C">
        <w:rPr>
          <w:rFonts w:ascii="Arial" w:hAnsi="Arial" w:cs="Arial"/>
          <w:sz w:val="23"/>
          <w:szCs w:val="23"/>
        </w:rPr>
        <w:t xml:space="preserve">n </w:t>
      </w:r>
      <w:r w:rsidR="00306C33">
        <w:rPr>
          <w:rFonts w:ascii="Arial" w:hAnsi="Arial" w:cs="Arial"/>
          <w:sz w:val="23"/>
          <w:szCs w:val="23"/>
        </w:rPr>
        <w:t>Gonchecol</w:t>
      </w:r>
      <w:r w:rsidR="002F6332" w:rsidRPr="007D618C">
        <w:rPr>
          <w:rFonts w:ascii="Arial" w:hAnsi="Arial" w:cs="Arial"/>
          <w:sz w:val="23"/>
          <w:szCs w:val="23"/>
        </w:rPr>
        <w:t xml:space="preserve">, </w:t>
      </w:r>
      <w:r w:rsidRPr="007D618C">
        <w:rPr>
          <w:rFonts w:ascii="Arial" w:hAnsi="Arial" w:cs="Arial"/>
          <w:sz w:val="23"/>
          <w:szCs w:val="23"/>
        </w:rPr>
        <w:t>motivo por el cual se hace necesario una persona con experiencia, para que</w:t>
      </w:r>
      <w:r w:rsidR="002F6332" w:rsidRPr="007D618C">
        <w:rPr>
          <w:rFonts w:ascii="Arial" w:hAnsi="Arial" w:cs="Arial"/>
          <w:sz w:val="23"/>
          <w:szCs w:val="23"/>
        </w:rPr>
        <w:t xml:space="preserve"> ejecute las actividades previstas</w:t>
      </w:r>
      <w:r w:rsidRPr="007D618C">
        <w:rPr>
          <w:rFonts w:ascii="Arial" w:hAnsi="Arial" w:cs="Arial"/>
          <w:sz w:val="23"/>
          <w:szCs w:val="23"/>
        </w:rPr>
        <w:t>.</w:t>
      </w:r>
    </w:p>
    <w:p w14:paraId="35EDCC0A" w14:textId="77777777" w:rsidR="008944BF" w:rsidRPr="007D618C" w:rsidRDefault="008944B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EB97744" w14:textId="77777777" w:rsidR="008944BF" w:rsidRPr="007D618C" w:rsidRDefault="008944B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La remuneración de la prestación del servicio se hará por </w:t>
      </w:r>
      <w:r w:rsidR="00330D0C" w:rsidRPr="007D618C">
        <w:rPr>
          <w:rFonts w:ascii="Arial" w:hAnsi="Arial" w:cs="Arial"/>
          <w:sz w:val="23"/>
          <w:szCs w:val="23"/>
        </w:rPr>
        <w:t xml:space="preserve">pagos </w:t>
      </w:r>
      <w:r w:rsidRPr="007D618C">
        <w:rPr>
          <w:rFonts w:ascii="Arial" w:hAnsi="Arial" w:cs="Arial"/>
          <w:sz w:val="23"/>
          <w:szCs w:val="23"/>
        </w:rPr>
        <w:t>mensuales, teniendo en cuenta que las actividades se ejecutan continuamente</w:t>
      </w:r>
      <w:r w:rsidR="00330D0C" w:rsidRPr="007D618C">
        <w:rPr>
          <w:rFonts w:ascii="Arial" w:hAnsi="Arial" w:cs="Arial"/>
          <w:sz w:val="23"/>
          <w:szCs w:val="23"/>
        </w:rPr>
        <w:t>,</w:t>
      </w:r>
      <w:r w:rsidRPr="007D618C">
        <w:rPr>
          <w:rFonts w:ascii="Arial" w:hAnsi="Arial" w:cs="Arial"/>
          <w:sz w:val="23"/>
          <w:szCs w:val="23"/>
        </w:rPr>
        <w:t xml:space="preserve"> </w:t>
      </w:r>
      <w:r w:rsidR="008E4EE1" w:rsidRPr="007D618C">
        <w:rPr>
          <w:rFonts w:ascii="Arial" w:hAnsi="Arial" w:cs="Arial"/>
          <w:sz w:val="23"/>
          <w:szCs w:val="23"/>
          <w:lang w:eastAsia="zh-CN"/>
        </w:rPr>
        <w:t>previa</w:t>
      </w:r>
      <w:r w:rsidR="00330D0C" w:rsidRPr="007D618C">
        <w:rPr>
          <w:rFonts w:ascii="Arial" w:hAnsi="Arial" w:cs="Arial"/>
          <w:sz w:val="23"/>
          <w:szCs w:val="23"/>
          <w:lang w:eastAsia="zh-CN"/>
        </w:rPr>
        <w:t xml:space="preserve"> entrega del informe, visto bueno por parte del supervisor</w:t>
      </w:r>
      <w:r w:rsidR="00330D0C" w:rsidRPr="007D618C">
        <w:rPr>
          <w:rFonts w:ascii="Arial" w:hAnsi="Arial" w:cs="Arial"/>
          <w:sz w:val="23"/>
          <w:szCs w:val="23"/>
        </w:rPr>
        <w:t xml:space="preserve"> y se cumpla con el</w:t>
      </w:r>
      <w:r w:rsidRPr="007D618C">
        <w:rPr>
          <w:rFonts w:ascii="Arial" w:hAnsi="Arial" w:cs="Arial"/>
          <w:sz w:val="23"/>
          <w:szCs w:val="23"/>
        </w:rPr>
        <w:t xml:space="preserve"> o</w:t>
      </w:r>
      <w:r w:rsidR="00330D0C" w:rsidRPr="007D618C">
        <w:rPr>
          <w:rFonts w:ascii="Arial" w:hAnsi="Arial" w:cs="Arial"/>
          <w:sz w:val="23"/>
          <w:szCs w:val="23"/>
        </w:rPr>
        <w:t>bjeto</w:t>
      </w:r>
      <w:r w:rsidRPr="007D618C">
        <w:rPr>
          <w:rFonts w:ascii="Arial" w:hAnsi="Arial" w:cs="Arial"/>
          <w:sz w:val="23"/>
          <w:szCs w:val="23"/>
        </w:rPr>
        <w:t xml:space="preserve"> del contrato.</w:t>
      </w:r>
    </w:p>
    <w:p w14:paraId="2C217187" w14:textId="77777777" w:rsidR="008E4EE1" w:rsidRPr="007D618C" w:rsidRDefault="008E4EE1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A0D0B68" w14:textId="77777777" w:rsidR="008E4EE1" w:rsidRPr="007D618C" w:rsidRDefault="008E4EE1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-Valor y forma de pago: </w:t>
      </w:r>
    </w:p>
    <w:p w14:paraId="017B5393" w14:textId="77777777" w:rsidR="008E4EE1" w:rsidRPr="007D618C" w:rsidRDefault="008E4EE1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341EA1E" w14:textId="631D5A62" w:rsidR="008E4EE1" w:rsidRPr="007D618C" w:rsidRDefault="001E088A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El valor del contrato será un </w:t>
      </w:r>
      <w:r w:rsidR="00777D8F" w:rsidRPr="007D618C">
        <w:rPr>
          <w:rFonts w:ascii="Arial" w:hAnsi="Arial" w:cs="Arial"/>
          <w:sz w:val="23"/>
          <w:szCs w:val="23"/>
        </w:rPr>
        <w:t>valor de</w:t>
      </w:r>
      <w:r w:rsidR="00594931" w:rsidRPr="007D618C">
        <w:rPr>
          <w:rFonts w:ascii="Arial" w:hAnsi="Arial" w:cs="Arial"/>
          <w:sz w:val="23"/>
          <w:szCs w:val="23"/>
        </w:rPr>
        <w:t xml:space="preserve"> </w:t>
      </w:r>
      <w:r w:rsidR="004E2832">
        <w:rPr>
          <w:rFonts w:ascii="Arial" w:hAnsi="Arial" w:cs="Arial"/>
          <w:sz w:val="23"/>
          <w:szCs w:val="23"/>
        </w:rPr>
        <w:t xml:space="preserve">Ocho Millones Setecientos Cincuenta Y Un Mil Ochocientos Dieciséis </w:t>
      </w:r>
      <w:r w:rsidR="004E2832" w:rsidRPr="007D618C">
        <w:rPr>
          <w:rFonts w:ascii="Arial" w:hAnsi="Arial" w:cs="Arial"/>
          <w:sz w:val="23"/>
          <w:szCs w:val="23"/>
        </w:rPr>
        <w:t>Pesos M/Cte</w:t>
      </w:r>
      <w:r w:rsidR="004E2832" w:rsidRPr="007D618C">
        <w:rPr>
          <w:rFonts w:ascii="Arial" w:hAnsi="Arial" w:cs="Arial"/>
          <w:b/>
          <w:sz w:val="23"/>
          <w:szCs w:val="23"/>
        </w:rPr>
        <w:t xml:space="preserve"> </w:t>
      </w:r>
      <w:r w:rsidR="004E2832">
        <w:rPr>
          <w:rFonts w:ascii="Arial" w:hAnsi="Arial" w:cs="Arial"/>
          <w:sz w:val="23"/>
          <w:szCs w:val="23"/>
        </w:rPr>
        <w:t>($8.751.816</w:t>
      </w:r>
      <w:r w:rsidR="008E4EE1" w:rsidRPr="007D618C">
        <w:rPr>
          <w:rFonts w:ascii="Arial" w:hAnsi="Arial" w:cs="Arial"/>
          <w:sz w:val="23"/>
          <w:szCs w:val="23"/>
        </w:rPr>
        <w:t>.oo),</w:t>
      </w:r>
      <w:r w:rsidRPr="007D618C">
        <w:rPr>
          <w:rFonts w:ascii="Arial" w:hAnsi="Arial" w:cs="Arial"/>
          <w:sz w:val="23"/>
          <w:szCs w:val="23"/>
        </w:rPr>
        <w:t xml:space="preserve"> esto </w:t>
      </w:r>
      <w:r w:rsidR="001725CA" w:rsidRPr="007D618C">
        <w:rPr>
          <w:rFonts w:ascii="Arial" w:hAnsi="Arial" w:cs="Arial"/>
          <w:sz w:val="23"/>
          <w:szCs w:val="23"/>
        </w:rPr>
        <w:t xml:space="preserve">por </w:t>
      </w:r>
      <w:r w:rsidRPr="007D618C">
        <w:rPr>
          <w:rFonts w:ascii="Arial" w:hAnsi="Arial" w:cs="Arial"/>
          <w:sz w:val="23"/>
          <w:szCs w:val="23"/>
        </w:rPr>
        <w:t>la experiencia que tengan las personas naturales para ejecutar la labor contratada, lo cuales</w:t>
      </w:r>
      <w:r w:rsidR="008E4EE1" w:rsidRPr="007D618C">
        <w:rPr>
          <w:rFonts w:ascii="Arial" w:hAnsi="Arial" w:cs="Arial"/>
          <w:sz w:val="23"/>
          <w:szCs w:val="23"/>
        </w:rPr>
        <w:t xml:space="preserve"> </w:t>
      </w:r>
      <w:r w:rsidR="00EA67B0" w:rsidRPr="007D618C">
        <w:rPr>
          <w:rFonts w:ascii="Arial" w:hAnsi="Arial" w:cs="Arial"/>
          <w:sz w:val="23"/>
          <w:szCs w:val="23"/>
        </w:rPr>
        <w:t>serán</w:t>
      </w:r>
      <w:r w:rsidR="008E4EE1" w:rsidRPr="007D618C">
        <w:rPr>
          <w:rFonts w:ascii="Arial" w:hAnsi="Arial" w:cs="Arial"/>
          <w:sz w:val="23"/>
          <w:szCs w:val="23"/>
        </w:rPr>
        <w:t xml:space="preserve"> cancelados de la siguiente manera:</w:t>
      </w:r>
    </w:p>
    <w:p w14:paraId="42BF7830" w14:textId="77777777" w:rsidR="008E4EE1" w:rsidRPr="007D618C" w:rsidRDefault="008E4EE1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728F0C" w14:textId="74200E73" w:rsidR="0067333E" w:rsidRPr="007D618C" w:rsidRDefault="00B6045C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Seis</w:t>
      </w:r>
      <w:r w:rsidR="00F659A3">
        <w:rPr>
          <w:rFonts w:ascii="Arial" w:hAnsi="Arial" w:cs="Arial"/>
          <w:sz w:val="23"/>
          <w:szCs w:val="23"/>
        </w:rPr>
        <w:t xml:space="preserve"> (06</w:t>
      </w:r>
      <w:r w:rsidR="006046EF" w:rsidRPr="007D618C">
        <w:rPr>
          <w:rFonts w:ascii="Arial" w:hAnsi="Arial" w:cs="Arial"/>
          <w:sz w:val="23"/>
          <w:szCs w:val="23"/>
        </w:rPr>
        <w:t>) pago</w:t>
      </w:r>
      <w:r w:rsidR="00F659A3">
        <w:rPr>
          <w:rFonts w:ascii="Arial" w:hAnsi="Arial" w:cs="Arial"/>
          <w:sz w:val="23"/>
          <w:szCs w:val="23"/>
        </w:rPr>
        <w:t>s iguales</w:t>
      </w:r>
      <w:r w:rsidR="006046EF" w:rsidRPr="007D618C">
        <w:rPr>
          <w:rFonts w:ascii="Arial" w:hAnsi="Arial" w:cs="Arial"/>
          <w:sz w:val="23"/>
          <w:szCs w:val="23"/>
        </w:rPr>
        <w:t xml:space="preserve"> por valor del </w:t>
      </w:r>
      <w:r w:rsidR="00F659A3">
        <w:rPr>
          <w:rFonts w:ascii="Arial" w:hAnsi="Arial" w:cs="Arial"/>
          <w:sz w:val="23"/>
          <w:szCs w:val="23"/>
        </w:rPr>
        <w:t xml:space="preserve">Un Millón Cuatrocientos Cincuenta Y Ocho Mil Seiscientos Treinta Y Seis Pesos Mcte. ($1.458.636.oo), </w:t>
      </w:r>
      <w:r w:rsidR="006046EF" w:rsidRPr="007D618C">
        <w:rPr>
          <w:rFonts w:ascii="Arial" w:hAnsi="Arial" w:cs="Arial"/>
          <w:sz w:val="23"/>
          <w:szCs w:val="23"/>
        </w:rPr>
        <w:t>los pagos se</w:t>
      </w:r>
      <w:r w:rsidR="006046EF" w:rsidRPr="007D618C">
        <w:rPr>
          <w:rFonts w:ascii="Arial" w:hAnsi="Arial" w:cs="Arial"/>
          <w:sz w:val="23"/>
          <w:szCs w:val="23"/>
          <w:lang w:eastAsia="zh-CN"/>
        </w:rPr>
        <w:t xml:space="preserve"> realizarán previo entrega del informe y visto bueno por parte del supervisor, con su respectiva acta de Interventoría y el respectivo soporte del pago se seguridad social</w:t>
      </w:r>
      <w:r w:rsidR="00CA6DA4">
        <w:rPr>
          <w:rFonts w:ascii="Arial" w:hAnsi="Arial" w:cs="Arial"/>
          <w:sz w:val="23"/>
          <w:szCs w:val="23"/>
          <w:lang w:eastAsia="zh-CN"/>
        </w:rPr>
        <w:t xml:space="preserve"> por parte del contratista</w:t>
      </w:r>
    </w:p>
    <w:p w14:paraId="6A1165A0" w14:textId="77777777" w:rsidR="00D00199" w:rsidRPr="007D618C" w:rsidRDefault="00D00199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3024D3E" w14:textId="77777777" w:rsidR="00546F6A" w:rsidRPr="007D618C" w:rsidRDefault="00941C62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9</w:t>
      </w:r>
      <w:r w:rsidR="008D6628" w:rsidRPr="007D618C">
        <w:rPr>
          <w:rFonts w:ascii="Arial" w:hAnsi="Arial" w:cs="Arial"/>
          <w:sz w:val="23"/>
          <w:szCs w:val="23"/>
        </w:rPr>
        <w:t>. JUSTIFICACION</w:t>
      </w:r>
      <w:r w:rsidR="00546F6A" w:rsidRPr="007D618C">
        <w:rPr>
          <w:rFonts w:ascii="Arial" w:hAnsi="Arial" w:cs="Arial"/>
          <w:sz w:val="23"/>
          <w:szCs w:val="23"/>
        </w:rPr>
        <w:t xml:space="preserve"> FACTORES DE SELECCIÓN</w:t>
      </w:r>
    </w:p>
    <w:p w14:paraId="7A5A0708" w14:textId="77777777" w:rsidR="00BA3B9B" w:rsidRDefault="00BA3B9B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327028" w14:textId="77777777" w:rsidR="00306C33" w:rsidRPr="007D618C" w:rsidRDefault="00306C33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ACCB0FE" w14:textId="4A6E8993" w:rsidR="008D6628" w:rsidRPr="007D618C" w:rsidRDefault="008D6628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INFITULUA</w:t>
      </w:r>
      <w:r w:rsidR="00A72861" w:rsidRPr="007D618C">
        <w:rPr>
          <w:rFonts w:ascii="Arial" w:hAnsi="Arial" w:cs="Arial"/>
          <w:sz w:val="23"/>
          <w:szCs w:val="23"/>
        </w:rPr>
        <w:t xml:space="preserve"> </w:t>
      </w:r>
      <w:r w:rsidR="00F659A3">
        <w:rPr>
          <w:rFonts w:ascii="Arial" w:hAnsi="Arial" w:cs="Arial"/>
          <w:sz w:val="23"/>
          <w:szCs w:val="23"/>
        </w:rPr>
        <w:t>requiere de u</w:t>
      </w:r>
      <w:r w:rsidRPr="007D618C">
        <w:rPr>
          <w:rFonts w:ascii="Arial" w:hAnsi="Arial" w:cs="Arial"/>
          <w:sz w:val="23"/>
          <w:szCs w:val="23"/>
        </w:rPr>
        <w:t xml:space="preserve">na persona natural que tenga como mínimo </w:t>
      </w:r>
      <w:r w:rsidR="003E1ED8">
        <w:rPr>
          <w:rFonts w:ascii="Arial" w:hAnsi="Arial" w:cs="Arial"/>
          <w:sz w:val="23"/>
          <w:szCs w:val="23"/>
        </w:rPr>
        <w:t>seis meses</w:t>
      </w:r>
      <w:r w:rsidRPr="007D618C">
        <w:rPr>
          <w:rFonts w:ascii="Arial" w:hAnsi="Arial" w:cs="Arial"/>
          <w:sz w:val="23"/>
          <w:szCs w:val="23"/>
        </w:rPr>
        <w:t xml:space="preserve"> de experiencia, en alguno de estos servicios; conserjería, aseo, logística, supervisión </w:t>
      </w:r>
      <w:r w:rsidR="003E1ED8" w:rsidRPr="007D618C">
        <w:rPr>
          <w:rFonts w:ascii="Arial" w:hAnsi="Arial" w:cs="Arial"/>
          <w:sz w:val="23"/>
          <w:szCs w:val="23"/>
        </w:rPr>
        <w:t>o</w:t>
      </w:r>
      <w:r w:rsidRPr="007D618C">
        <w:rPr>
          <w:rFonts w:ascii="Arial" w:hAnsi="Arial" w:cs="Arial"/>
          <w:sz w:val="23"/>
          <w:szCs w:val="23"/>
        </w:rPr>
        <w:t xml:space="preserve"> coordinación, </w:t>
      </w:r>
      <w:r w:rsidR="00A72861" w:rsidRPr="007D618C">
        <w:rPr>
          <w:rFonts w:ascii="Arial" w:hAnsi="Arial" w:cs="Arial"/>
          <w:sz w:val="23"/>
          <w:szCs w:val="23"/>
        </w:rPr>
        <w:t xml:space="preserve">quien cumple con el perfil para desarrollar las actividades del contrato, </w:t>
      </w:r>
      <w:r w:rsidRPr="007D618C">
        <w:rPr>
          <w:rFonts w:ascii="Arial" w:hAnsi="Arial" w:cs="Arial"/>
          <w:sz w:val="23"/>
          <w:szCs w:val="23"/>
        </w:rPr>
        <w:t>debido a las actividades que ha venido ejecutando</w:t>
      </w:r>
      <w:r w:rsidR="00F659A3">
        <w:rPr>
          <w:rFonts w:ascii="Arial" w:hAnsi="Arial" w:cs="Arial"/>
          <w:sz w:val="23"/>
          <w:szCs w:val="23"/>
        </w:rPr>
        <w:t>.</w:t>
      </w:r>
    </w:p>
    <w:p w14:paraId="49AF007A" w14:textId="77777777" w:rsidR="008D6628" w:rsidRPr="007D618C" w:rsidRDefault="008D6628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9B21A11" w14:textId="77777777" w:rsidR="00A72861" w:rsidRPr="007D618C" w:rsidRDefault="00F674D8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Además que tengan Competencias como liderazgo, trabajo en equipo, agilidad para resolver asuntos de forma rápida y eficaz.</w:t>
      </w:r>
    </w:p>
    <w:p w14:paraId="209EDE89" w14:textId="77777777" w:rsidR="00ED61A9" w:rsidRPr="007D618C" w:rsidRDefault="00ED61A9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9CBF7E1" w14:textId="77777777" w:rsidR="002F1E08" w:rsidRPr="007D618C" w:rsidRDefault="00755301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10. ANALISIS</w:t>
      </w:r>
      <w:r w:rsidR="002F1E08" w:rsidRPr="007D618C">
        <w:rPr>
          <w:rFonts w:ascii="Arial" w:hAnsi="Arial" w:cs="Arial"/>
          <w:sz w:val="23"/>
          <w:szCs w:val="23"/>
        </w:rPr>
        <w:t xml:space="preserve"> DE RIESGOS</w:t>
      </w:r>
      <w:r w:rsidR="004863FC" w:rsidRPr="007D618C">
        <w:rPr>
          <w:rFonts w:ascii="Arial" w:hAnsi="Arial" w:cs="Arial"/>
          <w:sz w:val="23"/>
          <w:szCs w:val="23"/>
        </w:rPr>
        <w:t xml:space="preserve"> Y FORMA DE MITIGARLO</w:t>
      </w:r>
      <w:r w:rsidR="000268BF" w:rsidRPr="007D618C">
        <w:rPr>
          <w:rFonts w:ascii="Arial" w:hAnsi="Arial" w:cs="Arial"/>
          <w:sz w:val="23"/>
          <w:szCs w:val="23"/>
        </w:rPr>
        <w:t>.</w:t>
      </w:r>
    </w:p>
    <w:p w14:paraId="70F11880" w14:textId="77777777" w:rsidR="000268BF" w:rsidRDefault="000268B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605A3DF" w14:textId="77777777" w:rsidR="00306C33" w:rsidRPr="007D618C" w:rsidRDefault="00306C33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C45D551" w14:textId="77777777" w:rsidR="000268BF" w:rsidRPr="007D618C" w:rsidRDefault="000268BF" w:rsidP="00F40ACA">
      <w:pPr>
        <w:spacing w:after="0" w:line="240" w:lineRule="auto"/>
        <w:jc w:val="both"/>
        <w:rPr>
          <w:rFonts w:ascii="Arial" w:hAnsi="Arial" w:cs="Arial"/>
          <w:bCs/>
          <w:iCs/>
          <w:sz w:val="23"/>
          <w:szCs w:val="23"/>
          <w:lang w:eastAsia="en-US"/>
        </w:rPr>
      </w:pPr>
      <w:r w:rsidRPr="007D618C">
        <w:rPr>
          <w:rFonts w:ascii="Arial" w:hAnsi="Arial" w:cs="Arial"/>
          <w:bCs/>
          <w:iCs/>
          <w:sz w:val="23"/>
          <w:szCs w:val="23"/>
          <w:lang w:val="es-MX" w:eastAsia="en-US"/>
        </w:rPr>
        <w:t>INFITULUA</w:t>
      </w:r>
      <w:r w:rsidRPr="007D618C">
        <w:rPr>
          <w:rFonts w:ascii="Arial" w:hAnsi="Arial" w:cs="Arial"/>
          <w:bCs/>
          <w:iCs/>
          <w:sz w:val="23"/>
          <w:szCs w:val="23"/>
          <w:lang w:eastAsia="en-US"/>
        </w:rPr>
        <w:t xml:space="preserve">, de acuerdo con las disposiciones del artículo 4 de la ley 1150 de 2007 y de los artículos 3, 15, 17 y el numeral 2 del artículo 159 del decreto 1510 de 2013 y con base en la Metodología para identificar y clasificar los riesgos elaborado por Colombia Compra Eficiente  procede a tipificar, estimar y asignar los riesgos de la presente contratación. Seguidamente, se identifican y describen los riesgos, según el </w:t>
      </w:r>
      <w:r w:rsidRPr="007D618C">
        <w:rPr>
          <w:rFonts w:ascii="Arial" w:hAnsi="Arial" w:cs="Arial"/>
          <w:bCs/>
          <w:iCs/>
          <w:sz w:val="23"/>
          <w:szCs w:val="23"/>
          <w:lang w:eastAsia="en-US"/>
        </w:rPr>
        <w:lastRenderedPageBreak/>
        <w:t>tipo y la etapa del proceso de contratación en la que ocurre. Luego, se evalúan los riegos teniendo en cuenta su impacto y su probabilidad de ocurrencia.</w:t>
      </w:r>
    </w:p>
    <w:p w14:paraId="4E157724" w14:textId="77777777" w:rsidR="00BE7246" w:rsidRPr="007D618C" w:rsidRDefault="00BE7246" w:rsidP="00F40ACA">
      <w:pPr>
        <w:spacing w:after="0" w:line="240" w:lineRule="auto"/>
        <w:jc w:val="both"/>
        <w:rPr>
          <w:rFonts w:ascii="Arial" w:hAnsi="Arial" w:cs="Arial"/>
          <w:bCs/>
          <w:iCs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35"/>
        <w:gridCol w:w="435"/>
        <w:gridCol w:w="435"/>
        <w:gridCol w:w="435"/>
        <w:gridCol w:w="2806"/>
        <w:gridCol w:w="2312"/>
        <w:gridCol w:w="435"/>
        <w:gridCol w:w="435"/>
        <w:gridCol w:w="435"/>
        <w:gridCol w:w="435"/>
      </w:tblGrid>
      <w:tr w:rsidR="000268BF" w:rsidRPr="007D618C" w14:paraId="33DCBC4F" w14:textId="77777777" w:rsidTr="00CA6DA4">
        <w:trPr>
          <w:cantSplit/>
          <w:trHeight w:val="1228"/>
        </w:trPr>
        <w:tc>
          <w:tcPr>
            <w:tcW w:w="279" w:type="pct"/>
            <w:shd w:val="clear" w:color="auto" w:fill="D9D9D9"/>
            <w:vAlign w:val="center"/>
          </w:tcPr>
          <w:p w14:paraId="28887D84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09" w:type="pct"/>
            <w:shd w:val="clear" w:color="auto" w:fill="D9D9D9"/>
            <w:textDirection w:val="btLr"/>
            <w:vAlign w:val="center"/>
          </w:tcPr>
          <w:p w14:paraId="1743F7D7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Clase</w:t>
            </w:r>
          </w:p>
        </w:tc>
        <w:tc>
          <w:tcPr>
            <w:tcW w:w="209" w:type="pct"/>
            <w:shd w:val="clear" w:color="auto" w:fill="D9D9D9"/>
            <w:textDirection w:val="btLr"/>
            <w:vAlign w:val="center"/>
          </w:tcPr>
          <w:p w14:paraId="2587A024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Fuente</w:t>
            </w:r>
          </w:p>
        </w:tc>
        <w:tc>
          <w:tcPr>
            <w:tcW w:w="209" w:type="pct"/>
            <w:shd w:val="clear" w:color="auto" w:fill="D9D9D9"/>
            <w:textDirection w:val="btLr"/>
            <w:vAlign w:val="center"/>
          </w:tcPr>
          <w:p w14:paraId="5F173EEC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209" w:type="pct"/>
            <w:shd w:val="clear" w:color="auto" w:fill="D9D9D9"/>
            <w:textDirection w:val="btLr"/>
            <w:vAlign w:val="center"/>
          </w:tcPr>
          <w:p w14:paraId="19D5C645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708" w:type="pct"/>
            <w:shd w:val="clear" w:color="auto" w:fill="D9D9D9"/>
            <w:vAlign w:val="center"/>
          </w:tcPr>
          <w:p w14:paraId="3923F313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Descripción(Que puede pasar y, como puede ocurrir)</w:t>
            </w:r>
          </w:p>
        </w:tc>
        <w:tc>
          <w:tcPr>
            <w:tcW w:w="1369" w:type="pct"/>
            <w:shd w:val="clear" w:color="auto" w:fill="D9D9D9"/>
            <w:vAlign w:val="center"/>
          </w:tcPr>
          <w:p w14:paraId="3330E79C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Consecuencia de la ocurrencia del evento</w:t>
            </w:r>
          </w:p>
        </w:tc>
        <w:tc>
          <w:tcPr>
            <w:tcW w:w="202" w:type="pct"/>
            <w:shd w:val="clear" w:color="auto" w:fill="D9D9D9"/>
            <w:textDirection w:val="btLr"/>
            <w:vAlign w:val="center"/>
          </w:tcPr>
          <w:p w14:paraId="76321EFD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Probabilidad</w:t>
            </w:r>
          </w:p>
        </w:tc>
        <w:tc>
          <w:tcPr>
            <w:tcW w:w="202" w:type="pct"/>
            <w:shd w:val="clear" w:color="auto" w:fill="D9D9D9"/>
            <w:textDirection w:val="btLr"/>
            <w:vAlign w:val="center"/>
          </w:tcPr>
          <w:p w14:paraId="7BDBCF82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Impacto</w:t>
            </w:r>
          </w:p>
        </w:tc>
        <w:tc>
          <w:tcPr>
            <w:tcW w:w="202" w:type="pct"/>
            <w:shd w:val="clear" w:color="auto" w:fill="D9D9D9"/>
            <w:textDirection w:val="btLr"/>
            <w:vAlign w:val="center"/>
          </w:tcPr>
          <w:p w14:paraId="3AB4BB51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Calificación total</w:t>
            </w:r>
          </w:p>
        </w:tc>
        <w:tc>
          <w:tcPr>
            <w:tcW w:w="202" w:type="pct"/>
            <w:shd w:val="clear" w:color="auto" w:fill="D9D9D9"/>
            <w:textDirection w:val="btLr"/>
            <w:vAlign w:val="center"/>
          </w:tcPr>
          <w:p w14:paraId="4282ED77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prioridad</w:t>
            </w:r>
          </w:p>
        </w:tc>
      </w:tr>
      <w:tr w:rsidR="000268BF" w:rsidRPr="007D618C" w14:paraId="42B2DC7D" w14:textId="77777777" w:rsidTr="00CA6DA4">
        <w:trPr>
          <w:cantSplit/>
          <w:trHeight w:val="1049"/>
        </w:trPr>
        <w:tc>
          <w:tcPr>
            <w:tcW w:w="279" w:type="pct"/>
            <w:shd w:val="clear" w:color="auto" w:fill="auto"/>
          </w:tcPr>
          <w:p w14:paraId="3630E084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C21FC2D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0ED4041F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76AECE75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14:paraId="2B335D5C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Especifico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14:paraId="6C9159D3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Interno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14:paraId="1F2FF7D4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Ejecución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14:paraId="0E434361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Operacional</w:t>
            </w:r>
          </w:p>
        </w:tc>
        <w:tc>
          <w:tcPr>
            <w:tcW w:w="1708" w:type="pct"/>
            <w:shd w:val="clear" w:color="auto" w:fill="auto"/>
          </w:tcPr>
          <w:p w14:paraId="457C9F07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8EDB19F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1C4180C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Incumplimiento parcial de las obligaciones del Contratista estipuladas en las exigencias del contrato</w:t>
            </w:r>
          </w:p>
        </w:tc>
        <w:tc>
          <w:tcPr>
            <w:tcW w:w="1369" w:type="pct"/>
            <w:shd w:val="clear" w:color="auto" w:fill="auto"/>
          </w:tcPr>
          <w:p w14:paraId="4ADB64CB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5DB690D1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3FDE904C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Problemas sociales que afectan la convivencia y el desarrollo de los objetivos de la plaza de mercado y pabellón de carmes.</w:t>
            </w:r>
          </w:p>
          <w:p w14:paraId="58527C70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14:paraId="6F7CC3CE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Raro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14:paraId="20709DFD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menor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14:paraId="1B69B8F8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Riesgo bajo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14:paraId="41E9D590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Bajo</w:t>
            </w:r>
          </w:p>
        </w:tc>
      </w:tr>
    </w:tbl>
    <w:p w14:paraId="62C185D1" w14:textId="77777777" w:rsidR="000268BF" w:rsidRPr="007D618C" w:rsidRDefault="000268B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49"/>
        <w:gridCol w:w="1810"/>
        <w:gridCol w:w="401"/>
        <w:gridCol w:w="401"/>
        <w:gridCol w:w="401"/>
        <w:gridCol w:w="444"/>
        <w:gridCol w:w="942"/>
        <w:gridCol w:w="622"/>
        <w:gridCol w:w="900"/>
        <w:gridCol w:w="1111"/>
        <w:gridCol w:w="613"/>
      </w:tblGrid>
      <w:tr w:rsidR="000268BF" w:rsidRPr="007D618C" w14:paraId="6790FAB3" w14:textId="77777777" w:rsidTr="008B2FC8">
        <w:tc>
          <w:tcPr>
            <w:tcW w:w="442" w:type="dxa"/>
            <w:vMerge w:val="restart"/>
            <w:shd w:val="clear" w:color="auto" w:fill="D9D9D9"/>
            <w:vAlign w:val="center"/>
          </w:tcPr>
          <w:p w14:paraId="35379E09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893" w:type="dxa"/>
            <w:vMerge w:val="restart"/>
            <w:shd w:val="clear" w:color="auto" w:fill="D9D9D9"/>
            <w:textDirection w:val="btLr"/>
            <w:vAlign w:val="center"/>
          </w:tcPr>
          <w:p w14:paraId="31B68375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¿A quién se le asigna</w:t>
            </w:r>
          </w:p>
        </w:tc>
        <w:tc>
          <w:tcPr>
            <w:tcW w:w="1687" w:type="dxa"/>
            <w:vMerge w:val="restart"/>
            <w:shd w:val="clear" w:color="auto" w:fill="D9D9D9"/>
            <w:vAlign w:val="center"/>
          </w:tcPr>
          <w:p w14:paraId="41DDDE38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Tratamiento/controles a ser implementados</w:t>
            </w:r>
          </w:p>
        </w:tc>
        <w:tc>
          <w:tcPr>
            <w:tcW w:w="1235" w:type="dxa"/>
            <w:gridSpan w:val="3"/>
            <w:shd w:val="clear" w:color="auto" w:fill="D9D9D9"/>
            <w:vAlign w:val="center"/>
          </w:tcPr>
          <w:p w14:paraId="77A2E574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Impacto después del tratamiento</w:t>
            </w:r>
          </w:p>
        </w:tc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3F498E8C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¿Afecta el equilibrio económico del contrato?</w:t>
            </w:r>
          </w:p>
        </w:tc>
        <w:tc>
          <w:tcPr>
            <w:tcW w:w="886" w:type="dxa"/>
            <w:vMerge w:val="restart"/>
            <w:shd w:val="clear" w:color="auto" w:fill="D9D9D9"/>
            <w:textDirection w:val="btLr"/>
            <w:vAlign w:val="center"/>
          </w:tcPr>
          <w:p w14:paraId="03EE70FF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Persona responsable por implementar el tratamiento</w:t>
            </w:r>
          </w:p>
        </w:tc>
        <w:tc>
          <w:tcPr>
            <w:tcW w:w="741" w:type="dxa"/>
            <w:vMerge w:val="restart"/>
            <w:shd w:val="clear" w:color="auto" w:fill="D9D9D9"/>
            <w:textDirection w:val="btLr"/>
            <w:vAlign w:val="center"/>
          </w:tcPr>
          <w:p w14:paraId="6D719BD5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Fecha en que se inicia el tratamiento</w:t>
            </w:r>
          </w:p>
        </w:tc>
        <w:tc>
          <w:tcPr>
            <w:tcW w:w="847" w:type="dxa"/>
            <w:vMerge w:val="restart"/>
            <w:shd w:val="clear" w:color="auto" w:fill="D9D9D9"/>
            <w:textDirection w:val="btLr"/>
            <w:vAlign w:val="center"/>
          </w:tcPr>
          <w:p w14:paraId="3A74393C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Fecha  estimada en que se completa el tratamiento</w:t>
            </w:r>
          </w:p>
        </w:tc>
        <w:tc>
          <w:tcPr>
            <w:tcW w:w="1787" w:type="dxa"/>
            <w:gridSpan w:val="2"/>
            <w:shd w:val="clear" w:color="auto" w:fill="D9D9D9"/>
            <w:vAlign w:val="center"/>
          </w:tcPr>
          <w:p w14:paraId="17C47A35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Monitoreo y Revisión</w:t>
            </w:r>
          </w:p>
        </w:tc>
      </w:tr>
      <w:tr w:rsidR="000268BF" w:rsidRPr="007D618C" w14:paraId="1D6A194B" w14:textId="77777777" w:rsidTr="008B2FC8">
        <w:trPr>
          <w:cantSplit/>
          <w:trHeight w:val="1386"/>
        </w:trPr>
        <w:tc>
          <w:tcPr>
            <w:tcW w:w="442" w:type="dxa"/>
            <w:vMerge/>
            <w:shd w:val="clear" w:color="auto" w:fill="D9D9D9"/>
            <w:vAlign w:val="center"/>
          </w:tcPr>
          <w:p w14:paraId="3FEE8EC0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shd w:val="clear" w:color="auto" w:fill="D9D9D9"/>
            <w:vAlign w:val="center"/>
          </w:tcPr>
          <w:p w14:paraId="3DE740E7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D9D9D9"/>
            <w:textDirection w:val="btLr"/>
            <w:vAlign w:val="center"/>
          </w:tcPr>
          <w:p w14:paraId="6BB1BFFF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D9D9D9"/>
            <w:textDirection w:val="btLr"/>
            <w:vAlign w:val="center"/>
          </w:tcPr>
          <w:p w14:paraId="1D1F90ED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Probabilidad</w:t>
            </w:r>
          </w:p>
        </w:tc>
        <w:tc>
          <w:tcPr>
            <w:tcW w:w="401" w:type="dxa"/>
            <w:shd w:val="clear" w:color="auto" w:fill="D9D9D9"/>
            <w:textDirection w:val="btLr"/>
            <w:vAlign w:val="center"/>
          </w:tcPr>
          <w:p w14:paraId="5F078E2A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Impacto</w:t>
            </w:r>
          </w:p>
        </w:tc>
        <w:tc>
          <w:tcPr>
            <w:tcW w:w="401" w:type="dxa"/>
            <w:shd w:val="clear" w:color="auto" w:fill="D9D9D9"/>
            <w:textDirection w:val="btLr"/>
            <w:vAlign w:val="center"/>
          </w:tcPr>
          <w:p w14:paraId="3FE5D8B2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Calificación total</w:t>
            </w:r>
          </w:p>
        </w:tc>
        <w:tc>
          <w:tcPr>
            <w:tcW w:w="538" w:type="dxa"/>
            <w:vMerge/>
            <w:shd w:val="clear" w:color="auto" w:fill="D9D9D9"/>
            <w:vAlign w:val="center"/>
          </w:tcPr>
          <w:p w14:paraId="6FB6ECAB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D9D9D9"/>
            <w:vAlign w:val="center"/>
          </w:tcPr>
          <w:p w14:paraId="57A24B50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vMerge/>
            <w:shd w:val="clear" w:color="auto" w:fill="D9D9D9"/>
            <w:vAlign w:val="center"/>
          </w:tcPr>
          <w:p w14:paraId="08302B2F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shd w:val="clear" w:color="auto" w:fill="D9D9D9"/>
            <w:vAlign w:val="center"/>
          </w:tcPr>
          <w:p w14:paraId="3AF56BDD" w14:textId="77777777" w:rsidR="000268BF" w:rsidRPr="007D618C" w:rsidRDefault="000268BF" w:rsidP="00F40AC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9D9D9"/>
            <w:textDirection w:val="btLr"/>
            <w:vAlign w:val="center"/>
          </w:tcPr>
          <w:p w14:paraId="7437C331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¿Cómo se realiza el monitoreo?</w:t>
            </w:r>
          </w:p>
        </w:tc>
        <w:tc>
          <w:tcPr>
            <w:tcW w:w="746" w:type="dxa"/>
            <w:shd w:val="clear" w:color="auto" w:fill="D9D9D9"/>
            <w:textDirection w:val="btLr"/>
            <w:vAlign w:val="center"/>
          </w:tcPr>
          <w:p w14:paraId="1A481AB3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Periodicidad</w:t>
            </w:r>
          </w:p>
          <w:p w14:paraId="5B350E15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7D618C">
              <w:rPr>
                <w:b/>
                <w:sz w:val="18"/>
                <w:szCs w:val="18"/>
              </w:rPr>
              <w:t>¿Cuándo?</w:t>
            </w:r>
          </w:p>
        </w:tc>
      </w:tr>
      <w:tr w:rsidR="000268BF" w:rsidRPr="007D618C" w14:paraId="42535C4F" w14:textId="77777777" w:rsidTr="008B2FC8">
        <w:trPr>
          <w:cantSplit/>
          <w:trHeight w:val="1134"/>
        </w:trPr>
        <w:tc>
          <w:tcPr>
            <w:tcW w:w="442" w:type="dxa"/>
            <w:shd w:val="clear" w:color="auto" w:fill="auto"/>
            <w:vAlign w:val="center"/>
          </w:tcPr>
          <w:p w14:paraId="0A5907AC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4881885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Contratista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216149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Supervisión diaria a los contratistas por parte del encargado.</w:t>
            </w:r>
          </w:p>
        </w:tc>
        <w:tc>
          <w:tcPr>
            <w:tcW w:w="433" w:type="dxa"/>
            <w:shd w:val="clear" w:color="auto" w:fill="auto"/>
            <w:textDirection w:val="btLr"/>
            <w:vAlign w:val="center"/>
          </w:tcPr>
          <w:p w14:paraId="4F9E057C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Raro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14:paraId="7C454953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Insignificante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</w:tcPr>
          <w:p w14:paraId="091AE8D8" w14:textId="77777777" w:rsidR="000268BF" w:rsidRPr="007D618C" w:rsidRDefault="000268BF" w:rsidP="00F40ACA">
            <w:pPr>
              <w:pStyle w:val="Default"/>
              <w:ind w:left="113" w:right="113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Menor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8636B53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NO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9194C95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Supervisor</w:t>
            </w:r>
          </w:p>
          <w:p w14:paraId="6A9BCC83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del contrato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601BC5E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Enero 2 de 2015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BA448E0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Diciembre 30 de 2015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88C946A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Seguimiento al cumplimiento  del acuerdo interno del servicio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267496" w14:textId="77777777" w:rsidR="000268BF" w:rsidRPr="007D618C" w:rsidRDefault="000268BF" w:rsidP="00F40ACA">
            <w:pPr>
              <w:pStyle w:val="Default"/>
              <w:jc w:val="both"/>
              <w:rPr>
                <w:sz w:val="18"/>
                <w:szCs w:val="18"/>
              </w:rPr>
            </w:pPr>
            <w:r w:rsidRPr="007D618C">
              <w:rPr>
                <w:sz w:val="18"/>
                <w:szCs w:val="18"/>
              </w:rPr>
              <w:t>Diario</w:t>
            </w:r>
          </w:p>
        </w:tc>
      </w:tr>
    </w:tbl>
    <w:p w14:paraId="130916EC" w14:textId="77777777" w:rsidR="000268BF" w:rsidRDefault="000268BF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EC11581" w14:textId="77777777" w:rsidR="00E34BCE" w:rsidRPr="007D618C" w:rsidRDefault="00E34BCE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062D16D" w14:textId="77777777" w:rsidR="000007E4" w:rsidRPr="007D618C" w:rsidRDefault="00815F82" w:rsidP="00F4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11. </w:t>
      </w:r>
      <w:r w:rsidR="000007E4" w:rsidRPr="007D618C">
        <w:rPr>
          <w:rFonts w:ascii="Arial" w:hAnsi="Arial" w:cs="Arial"/>
          <w:sz w:val="23"/>
          <w:szCs w:val="23"/>
        </w:rPr>
        <w:t>MECANISMOS DE COBERTURA</w:t>
      </w:r>
    </w:p>
    <w:p w14:paraId="5A091B16" w14:textId="77777777" w:rsidR="00FA3F79" w:rsidRDefault="00FA3F79" w:rsidP="00F40ACA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14:paraId="716C66B8" w14:textId="77777777" w:rsidR="00306C33" w:rsidRPr="007D618C" w:rsidRDefault="00306C33" w:rsidP="00F40ACA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14:paraId="2A6108B0" w14:textId="77777777" w:rsidR="00C9495B" w:rsidRPr="007D618C" w:rsidRDefault="00C9495B" w:rsidP="00F40AC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 xml:space="preserve">De conformidad con el inciso 5 del artículo 7 de la Ley 1150 de 2007 reglamentado por el artículo </w:t>
      </w:r>
      <w:r w:rsidR="00BE7246" w:rsidRPr="007D618C">
        <w:rPr>
          <w:rFonts w:ascii="Arial" w:hAnsi="Arial" w:cs="Arial"/>
          <w:sz w:val="23"/>
          <w:szCs w:val="23"/>
        </w:rPr>
        <w:t>7</w:t>
      </w:r>
      <w:r w:rsidRPr="007D618C">
        <w:rPr>
          <w:rFonts w:ascii="Arial" w:hAnsi="Arial" w:cs="Arial"/>
          <w:sz w:val="23"/>
          <w:szCs w:val="23"/>
        </w:rPr>
        <w:t>7 del Decreto 1510 de 2013, no se exigirá ninguna garantía por tratarse de un contrato cuyo valor es inferior al diez por ciento (10%) de la menor cuantía de la entidad.</w:t>
      </w:r>
    </w:p>
    <w:p w14:paraId="67971EC7" w14:textId="77777777" w:rsidR="00C9495B" w:rsidRPr="007D618C" w:rsidRDefault="00C9495B" w:rsidP="00F40AC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3"/>
          <w:szCs w:val="23"/>
          <w:lang w:eastAsia="es-CO"/>
        </w:rPr>
      </w:pPr>
    </w:p>
    <w:p w14:paraId="2B84A624" w14:textId="77777777" w:rsidR="00FA3F79" w:rsidRDefault="00FA3F79" w:rsidP="00F40A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eastAsia="Calibri" w:hAnsi="Arial" w:cs="Arial"/>
          <w:sz w:val="23"/>
          <w:szCs w:val="23"/>
          <w:lang w:eastAsia="en-US"/>
        </w:rPr>
        <w:t>12.</w:t>
      </w:r>
      <w:r w:rsidRPr="007D618C">
        <w:rPr>
          <w:rFonts w:ascii="Arial" w:hAnsi="Arial" w:cs="Arial"/>
          <w:sz w:val="23"/>
          <w:szCs w:val="23"/>
        </w:rPr>
        <w:t xml:space="preserve"> ACUERDO COMERCIAL</w:t>
      </w:r>
    </w:p>
    <w:p w14:paraId="5F7574EC" w14:textId="77777777" w:rsidR="00306C33" w:rsidRPr="007D618C" w:rsidRDefault="00306C33" w:rsidP="00F40A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AE6717F" w14:textId="77777777" w:rsidR="00FA3F79" w:rsidRPr="007D618C" w:rsidRDefault="00FA3F79" w:rsidP="00F40A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lastRenderedPageBreak/>
        <w:t>La contratación directa no está cobijada por Acuerdos Internacionales o Tratados de Libre Comercio.</w:t>
      </w:r>
    </w:p>
    <w:p w14:paraId="159CD461" w14:textId="77777777" w:rsidR="00FA3F79" w:rsidRDefault="00FA3F79" w:rsidP="00F40A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13. CONSTANCIA DEL CUMPLIMIENTO DEL DEBER DE ANÁLISIS DE LAS ENTIDADES ESTATALES</w:t>
      </w:r>
      <w:r w:rsidR="006D74E7" w:rsidRPr="007D618C">
        <w:rPr>
          <w:rFonts w:ascii="Arial" w:hAnsi="Arial" w:cs="Arial"/>
          <w:sz w:val="23"/>
          <w:szCs w:val="23"/>
        </w:rPr>
        <w:t>.</w:t>
      </w:r>
    </w:p>
    <w:p w14:paraId="381369BC" w14:textId="77777777" w:rsidR="00306C33" w:rsidRPr="007D618C" w:rsidRDefault="00306C33" w:rsidP="00F40AC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6D5BE9FA" w14:textId="2CA14986" w:rsidR="00D60E85" w:rsidRPr="00A607C4" w:rsidRDefault="006D74E7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D618C">
        <w:rPr>
          <w:rFonts w:ascii="Arial" w:hAnsi="Arial" w:cs="Arial"/>
          <w:sz w:val="23"/>
          <w:szCs w:val="23"/>
        </w:rPr>
        <w:t>Se deja cons</w:t>
      </w:r>
      <w:r w:rsidR="00A30FEB" w:rsidRPr="007D618C">
        <w:rPr>
          <w:rFonts w:ascii="Arial" w:hAnsi="Arial" w:cs="Arial"/>
          <w:sz w:val="23"/>
          <w:szCs w:val="23"/>
        </w:rPr>
        <w:t>tancia que INFITULUA</w:t>
      </w:r>
      <w:r w:rsidRPr="007D618C">
        <w:rPr>
          <w:rFonts w:ascii="Arial" w:hAnsi="Arial" w:cs="Arial"/>
          <w:sz w:val="23"/>
          <w:szCs w:val="23"/>
        </w:rPr>
        <w:t xml:space="preserve"> cumplió con el deber de análisis para conocer el sector relativo al objeto del Proceso de Contratación desde la perspectiva legal, comercial, financiera, organizacional, técnica y de análisis de riesgo.</w:t>
      </w:r>
    </w:p>
    <w:p w14:paraId="468C79BC" w14:textId="77777777" w:rsidR="00A607C4" w:rsidRDefault="00A607C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534EFB3C" w14:textId="77777777" w:rsidR="00A607C4" w:rsidRDefault="00A607C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6F64DC4E" w14:textId="33028F6F" w:rsidR="00E34BCE" w:rsidRDefault="003D5222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  <w:r w:rsidRPr="007D618C">
        <w:rPr>
          <w:rFonts w:ascii="Arial" w:hAnsi="Arial" w:cs="Arial"/>
          <w:sz w:val="23"/>
          <w:szCs w:val="23"/>
          <w:lang w:val="es-MX" w:eastAsia="en-US"/>
        </w:rPr>
        <w:t xml:space="preserve">Tuluá, </w:t>
      </w:r>
      <w:r w:rsidR="00B6045C">
        <w:rPr>
          <w:rFonts w:ascii="Arial" w:hAnsi="Arial" w:cs="Arial"/>
          <w:sz w:val="23"/>
          <w:szCs w:val="23"/>
          <w:lang w:val="es-MX" w:eastAsia="en-US"/>
        </w:rPr>
        <w:t>05 de enero de 2016</w:t>
      </w:r>
    </w:p>
    <w:p w14:paraId="0B647CFF" w14:textId="77777777" w:rsidR="00E34BCE" w:rsidRDefault="00E34BCE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187CAC03" w14:textId="77777777" w:rsidR="00A15124" w:rsidRDefault="00A1512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2D33AE2E" w14:textId="35BC6BB4" w:rsidR="00A607C4" w:rsidRDefault="00A1512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  <w:r>
        <w:rPr>
          <w:rFonts w:ascii="Arial" w:hAnsi="Arial" w:cs="Arial"/>
          <w:sz w:val="23"/>
          <w:szCs w:val="23"/>
          <w:lang w:val="es-MX" w:eastAsia="en-US"/>
        </w:rPr>
        <w:t>(Original Firmado)</w:t>
      </w:r>
    </w:p>
    <w:p w14:paraId="0771D9C7" w14:textId="77777777" w:rsidR="00A15124" w:rsidRDefault="00A15124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291C0267" w14:textId="77777777" w:rsidR="00E34BCE" w:rsidRPr="007D618C" w:rsidRDefault="00E34BCE" w:rsidP="00F40AC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51F19376" w14:textId="5B607BE4" w:rsidR="00B6045C" w:rsidRDefault="00B6045C" w:rsidP="00A607C4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  <w:r>
        <w:rPr>
          <w:rFonts w:ascii="Arial" w:hAnsi="Arial" w:cs="Arial"/>
          <w:sz w:val="23"/>
          <w:szCs w:val="23"/>
          <w:lang w:val="es-MX" w:eastAsia="en-US"/>
        </w:rPr>
        <w:t>MARIA DEL PILAR CORONEL DAVID</w:t>
      </w:r>
    </w:p>
    <w:p w14:paraId="7B34F681" w14:textId="3BB2F4A7" w:rsidR="00E34BCE" w:rsidRDefault="00857D5D" w:rsidP="00A607C4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  <w:r w:rsidRPr="007D618C">
        <w:rPr>
          <w:rFonts w:ascii="Arial" w:hAnsi="Arial" w:cs="Arial"/>
          <w:sz w:val="23"/>
          <w:szCs w:val="23"/>
          <w:lang w:val="es-MX" w:eastAsia="en-US"/>
        </w:rPr>
        <w:t>Directora Financiera y Administrativa</w:t>
      </w:r>
    </w:p>
    <w:p w14:paraId="57572DFF" w14:textId="77777777" w:rsidR="00A607C4" w:rsidRPr="00A607C4" w:rsidRDefault="00A607C4" w:rsidP="00A607C4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n-US"/>
        </w:rPr>
      </w:pPr>
    </w:p>
    <w:p w14:paraId="0EE41B61" w14:textId="7CF16224" w:rsidR="00C734CF" w:rsidRPr="00BE3893" w:rsidRDefault="000C1295" w:rsidP="00F40AC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BE3893">
        <w:rPr>
          <w:rFonts w:ascii="Arial" w:eastAsia="Calibri" w:hAnsi="Arial" w:cs="Arial"/>
          <w:sz w:val="16"/>
          <w:szCs w:val="16"/>
        </w:rPr>
        <w:t>Proyectó</w:t>
      </w:r>
      <w:r w:rsidR="00A607C4">
        <w:rPr>
          <w:rFonts w:ascii="Arial" w:eastAsia="Calibri" w:hAnsi="Arial" w:cs="Arial"/>
          <w:sz w:val="16"/>
          <w:szCs w:val="16"/>
        </w:rPr>
        <w:t>: Jaime Sánchez T.</w:t>
      </w:r>
    </w:p>
    <w:sectPr w:rsidR="00C734CF" w:rsidRPr="00BE3893" w:rsidSect="00D45EBA">
      <w:headerReference w:type="default" r:id="rId10"/>
      <w:footerReference w:type="defaul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60DCD" w14:textId="77777777" w:rsidR="001346B9" w:rsidRDefault="001346B9" w:rsidP="00D45EBA">
      <w:pPr>
        <w:spacing w:after="0" w:line="240" w:lineRule="auto"/>
      </w:pPr>
      <w:r>
        <w:separator/>
      </w:r>
    </w:p>
  </w:endnote>
  <w:endnote w:type="continuationSeparator" w:id="0">
    <w:p w14:paraId="698C9475" w14:textId="77777777" w:rsidR="001346B9" w:rsidRDefault="001346B9" w:rsidP="00D4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154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392231" w14:textId="77777777" w:rsidR="00176300" w:rsidRDefault="0017630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F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F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1A663" w14:textId="77777777" w:rsidR="00176300" w:rsidRDefault="001763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8341" w14:textId="77777777" w:rsidR="001346B9" w:rsidRDefault="001346B9" w:rsidP="00D45EBA">
      <w:pPr>
        <w:spacing w:after="0" w:line="240" w:lineRule="auto"/>
      </w:pPr>
      <w:r>
        <w:separator/>
      </w:r>
    </w:p>
  </w:footnote>
  <w:footnote w:type="continuationSeparator" w:id="0">
    <w:p w14:paraId="657F57C3" w14:textId="77777777" w:rsidR="001346B9" w:rsidRDefault="001346B9" w:rsidP="00D4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4B28" w14:textId="77777777" w:rsidR="004E6D3A" w:rsidRDefault="00F90D25" w:rsidP="004E6D3A">
    <w:pPr>
      <w:spacing w:after="0" w:line="240" w:lineRule="aut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247CE0F" wp14:editId="77B90C35">
          <wp:simplePos x="0" y="0"/>
          <wp:positionH relativeFrom="column">
            <wp:posOffset>-1061085</wp:posOffset>
          </wp:positionH>
          <wp:positionV relativeFrom="paragraph">
            <wp:posOffset>-472249</wp:posOffset>
          </wp:positionV>
          <wp:extent cx="7742762" cy="10091451"/>
          <wp:effectExtent l="19050" t="0" r="0" b="0"/>
          <wp:wrapNone/>
          <wp:docPr id="1" name="Imagen 1" descr="C:\Users\Usuario\Downloads\Hoja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Hoja_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762" cy="10091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F3FAF9" w14:textId="77777777" w:rsidR="004E6D3A" w:rsidRDefault="004E6D3A" w:rsidP="004E6D3A">
    <w:pPr>
      <w:spacing w:after="0" w:line="240" w:lineRule="auto"/>
    </w:pPr>
  </w:p>
  <w:p w14:paraId="6AEFFA32" w14:textId="77777777" w:rsidR="004E6D3A" w:rsidRDefault="004E6D3A" w:rsidP="004E6D3A">
    <w:pPr>
      <w:spacing w:after="0" w:line="240" w:lineRule="auto"/>
    </w:pPr>
  </w:p>
  <w:p w14:paraId="135E44E8" w14:textId="77777777" w:rsidR="004E6D3A" w:rsidRDefault="004E6D3A" w:rsidP="004E6D3A">
    <w:pPr>
      <w:spacing w:after="0" w:line="240" w:lineRule="auto"/>
    </w:pPr>
  </w:p>
  <w:p w14:paraId="22862BC2" w14:textId="77777777" w:rsidR="00D45EBA" w:rsidRPr="00001695" w:rsidRDefault="0000321E">
    <w:pPr>
      <w:pStyle w:val="Encabezado"/>
      <w:rPr>
        <w:b/>
      </w:rPr>
    </w:pPr>
    <w:r w:rsidRPr="002236DF">
      <w:rPr>
        <w:b/>
      </w:rPr>
      <w:t>DIRECCIÓN FINANCIERA Y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2FB"/>
    <w:multiLevelType w:val="hybridMultilevel"/>
    <w:tmpl w:val="C3A876F0"/>
    <w:lvl w:ilvl="0" w:tplc="DDA47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E5B"/>
    <w:multiLevelType w:val="hybridMultilevel"/>
    <w:tmpl w:val="63146FF8"/>
    <w:lvl w:ilvl="0" w:tplc="DE1ED6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D2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915A78"/>
    <w:multiLevelType w:val="hybridMultilevel"/>
    <w:tmpl w:val="9ACAA432"/>
    <w:lvl w:ilvl="0" w:tplc="3FC24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94D93"/>
    <w:multiLevelType w:val="hybridMultilevel"/>
    <w:tmpl w:val="9CAE49E6"/>
    <w:lvl w:ilvl="0" w:tplc="86922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27FAB"/>
    <w:multiLevelType w:val="hybridMultilevel"/>
    <w:tmpl w:val="492A398A"/>
    <w:lvl w:ilvl="0" w:tplc="40A6A04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310C9"/>
    <w:multiLevelType w:val="hybridMultilevel"/>
    <w:tmpl w:val="B8BA5A58"/>
    <w:lvl w:ilvl="0" w:tplc="98DE2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681F14"/>
    <w:multiLevelType w:val="hybridMultilevel"/>
    <w:tmpl w:val="537AECD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E67021"/>
    <w:multiLevelType w:val="hybridMultilevel"/>
    <w:tmpl w:val="EE42D93A"/>
    <w:lvl w:ilvl="0" w:tplc="F042D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C5F1A"/>
    <w:multiLevelType w:val="hybridMultilevel"/>
    <w:tmpl w:val="B4965A6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648" w:hanging="360"/>
      </w:pPr>
    </w:lvl>
    <w:lvl w:ilvl="2" w:tplc="240A001B">
      <w:start w:val="1"/>
      <w:numFmt w:val="lowerRoman"/>
      <w:lvlText w:val="%3."/>
      <w:lvlJc w:val="right"/>
      <w:pPr>
        <w:ind w:left="2368" w:hanging="180"/>
      </w:pPr>
    </w:lvl>
    <w:lvl w:ilvl="3" w:tplc="240A000F">
      <w:start w:val="1"/>
      <w:numFmt w:val="decimal"/>
      <w:lvlText w:val="%4."/>
      <w:lvlJc w:val="left"/>
      <w:pPr>
        <w:ind w:left="3088" w:hanging="360"/>
      </w:pPr>
    </w:lvl>
    <w:lvl w:ilvl="4" w:tplc="240A0019">
      <w:start w:val="1"/>
      <w:numFmt w:val="lowerLetter"/>
      <w:lvlText w:val="%5."/>
      <w:lvlJc w:val="left"/>
      <w:pPr>
        <w:ind w:left="3808" w:hanging="360"/>
      </w:pPr>
    </w:lvl>
    <w:lvl w:ilvl="5" w:tplc="240A001B">
      <w:start w:val="1"/>
      <w:numFmt w:val="lowerRoman"/>
      <w:lvlText w:val="%6."/>
      <w:lvlJc w:val="right"/>
      <w:pPr>
        <w:ind w:left="4528" w:hanging="180"/>
      </w:pPr>
    </w:lvl>
    <w:lvl w:ilvl="6" w:tplc="240A000F">
      <w:start w:val="1"/>
      <w:numFmt w:val="decimal"/>
      <w:lvlText w:val="%7."/>
      <w:lvlJc w:val="left"/>
      <w:pPr>
        <w:ind w:left="5248" w:hanging="360"/>
      </w:pPr>
    </w:lvl>
    <w:lvl w:ilvl="7" w:tplc="240A0019">
      <w:start w:val="1"/>
      <w:numFmt w:val="lowerLetter"/>
      <w:lvlText w:val="%8."/>
      <w:lvlJc w:val="left"/>
      <w:pPr>
        <w:ind w:left="5968" w:hanging="360"/>
      </w:pPr>
    </w:lvl>
    <w:lvl w:ilvl="8" w:tplc="240A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6B2874"/>
    <w:multiLevelType w:val="hybridMultilevel"/>
    <w:tmpl w:val="8D0A1CF2"/>
    <w:lvl w:ilvl="0" w:tplc="22EC1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B56B0"/>
    <w:multiLevelType w:val="hybridMultilevel"/>
    <w:tmpl w:val="13086A12"/>
    <w:lvl w:ilvl="0" w:tplc="CC74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D20FB"/>
    <w:multiLevelType w:val="multilevel"/>
    <w:tmpl w:val="7734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D32F15"/>
    <w:multiLevelType w:val="hybridMultilevel"/>
    <w:tmpl w:val="8E501FF0"/>
    <w:lvl w:ilvl="0" w:tplc="7A904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614FA"/>
    <w:multiLevelType w:val="hybridMultilevel"/>
    <w:tmpl w:val="2E387026"/>
    <w:lvl w:ilvl="0" w:tplc="103E5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1EC"/>
    <w:multiLevelType w:val="hybridMultilevel"/>
    <w:tmpl w:val="D054A0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11B70"/>
    <w:multiLevelType w:val="hybridMultilevel"/>
    <w:tmpl w:val="B00423AC"/>
    <w:lvl w:ilvl="0" w:tplc="C37E4F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5375E"/>
    <w:multiLevelType w:val="hybridMultilevel"/>
    <w:tmpl w:val="0AB623BE"/>
    <w:lvl w:ilvl="0" w:tplc="23106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28B8"/>
    <w:multiLevelType w:val="hybridMultilevel"/>
    <w:tmpl w:val="907A2D8C"/>
    <w:lvl w:ilvl="0" w:tplc="86922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4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6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BA"/>
    <w:rsid w:val="000007E4"/>
    <w:rsid w:val="00001695"/>
    <w:rsid w:val="000021D6"/>
    <w:rsid w:val="0000321E"/>
    <w:rsid w:val="00012D7F"/>
    <w:rsid w:val="00017C86"/>
    <w:rsid w:val="00020C2C"/>
    <w:rsid w:val="00024EAF"/>
    <w:rsid w:val="000268BF"/>
    <w:rsid w:val="00036B69"/>
    <w:rsid w:val="00037017"/>
    <w:rsid w:val="00045921"/>
    <w:rsid w:val="0005349D"/>
    <w:rsid w:val="000544F6"/>
    <w:rsid w:val="00054B5B"/>
    <w:rsid w:val="0005757E"/>
    <w:rsid w:val="000874B3"/>
    <w:rsid w:val="000879B6"/>
    <w:rsid w:val="000C1295"/>
    <w:rsid w:val="000C4074"/>
    <w:rsid w:val="000C4BA7"/>
    <w:rsid w:val="000D04B0"/>
    <w:rsid w:val="000E14C5"/>
    <w:rsid w:val="000E60A4"/>
    <w:rsid w:val="000E697A"/>
    <w:rsid w:val="000E6AEE"/>
    <w:rsid w:val="000F0657"/>
    <w:rsid w:val="000F48EE"/>
    <w:rsid w:val="000F5E48"/>
    <w:rsid w:val="0010051F"/>
    <w:rsid w:val="00101161"/>
    <w:rsid w:val="001013E1"/>
    <w:rsid w:val="00102288"/>
    <w:rsid w:val="001023FA"/>
    <w:rsid w:val="001103C2"/>
    <w:rsid w:val="00111152"/>
    <w:rsid w:val="001115B7"/>
    <w:rsid w:val="00116164"/>
    <w:rsid w:val="00127836"/>
    <w:rsid w:val="00131B39"/>
    <w:rsid w:val="001346B9"/>
    <w:rsid w:val="0014120F"/>
    <w:rsid w:val="0014542D"/>
    <w:rsid w:val="001579CA"/>
    <w:rsid w:val="00161FE5"/>
    <w:rsid w:val="00170C7E"/>
    <w:rsid w:val="001725CA"/>
    <w:rsid w:val="00176300"/>
    <w:rsid w:val="00176E4D"/>
    <w:rsid w:val="00176FDB"/>
    <w:rsid w:val="00181594"/>
    <w:rsid w:val="0018374D"/>
    <w:rsid w:val="001A0890"/>
    <w:rsid w:val="001A2D9C"/>
    <w:rsid w:val="001A5E06"/>
    <w:rsid w:val="001B096D"/>
    <w:rsid w:val="001C74FA"/>
    <w:rsid w:val="001D3CD2"/>
    <w:rsid w:val="001E088A"/>
    <w:rsid w:val="001E19E3"/>
    <w:rsid w:val="0020139D"/>
    <w:rsid w:val="0020622F"/>
    <w:rsid w:val="00206436"/>
    <w:rsid w:val="00214547"/>
    <w:rsid w:val="00216274"/>
    <w:rsid w:val="00216537"/>
    <w:rsid w:val="002236DF"/>
    <w:rsid w:val="00226531"/>
    <w:rsid w:val="00234C97"/>
    <w:rsid w:val="00237795"/>
    <w:rsid w:val="00243601"/>
    <w:rsid w:val="0024385A"/>
    <w:rsid w:val="00245ABA"/>
    <w:rsid w:val="00253B87"/>
    <w:rsid w:val="002565BE"/>
    <w:rsid w:val="00277E21"/>
    <w:rsid w:val="002850A7"/>
    <w:rsid w:val="00287EF4"/>
    <w:rsid w:val="0029031F"/>
    <w:rsid w:val="00291A3E"/>
    <w:rsid w:val="00293D16"/>
    <w:rsid w:val="002B0D1D"/>
    <w:rsid w:val="002B2438"/>
    <w:rsid w:val="002B307C"/>
    <w:rsid w:val="002C315B"/>
    <w:rsid w:val="002D38CA"/>
    <w:rsid w:val="002E1785"/>
    <w:rsid w:val="002E5712"/>
    <w:rsid w:val="002E5EBA"/>
    <w:rsid w:val="002F1E08"/>
    <w:rsid w:val="002F4D62"/>
    <w:rsid w:val="002F6332"/>
    <w:rsid w:val="002F7D2F"/>
    <w:rsid w:val="00306C33"/>
    <w:rsid w:val="0031203E"/>
    <w:rsid w:val="00312E5A"/>
    <w:rsid w:val="00316675"/>
    <w:rsid w:val="00330D0C"/>
    <w:rsid w:val="0033164B"/>
    <w:rsid w:val="00332169"/>
    <w:rsid w:val="00334D0B"/>
    <w:rsid w:val="00336104"/>
    <w:rsid w:val="00347D83"/>
    <w:rsid w:val="00374255"/>
    <w:rsid w:val="003824EE"/>
    <w:rsid w:val="00390B09"/>
    <w:rsid w:val="00394590"/>
    <w:rsid w:val="003A4984"/>
    <w:rsid w:val="003B6CAF"/>
    <w:rsid w:val="003C53A6"/>
    <w:rsid w:val="003C635C"/>
    <w:rsid w:val="003D49CC"/>
    <w:rsid w:val="003D5222"/>
    <w:rsid w:val="003E1ED8"/>
    <w:rsid w:val="003F1914"/>
    <w:rsid w:val="003F7CFC"/>
    <w:rsid w:val="0040111A"/>
    <w:rsid w:val="00403534"/>
    <w:rsid w:val="00406286"/>
    <w:rsid w:val="00406777"/>
    <w:rsid w:val="004138CA"/>
    <w:rsid w:val="00423EEB"/>
    <w:rsid w:val="004255B7"/>
    <w:rsid w:val="00431BB4"/>
    <w:rsid w:val="004333E2"/>
    <w:rsid w:val="0043630B"/>
    <w:rsid w:val="0044083F"/>
    <w:rsid w:val="00441C0D"/>
    <w:rsid w:val="004424BF"/>
    <w:rsid w:val="004455E4"/>
    <w:rsid w:val="00446C08"/>
    <w:rsid w:val="0045122C"/>
    <w:rsid w:val="00460DE3"/>
    <w:rsid w:val="00465CDB"/>
    <w:rsid w:val="004734FF"/>
    <w:rsid w:val="00475F6C"/>
    <w:rsid w:val="00476411"/>
    <w:rsid w:val="00485180"/>
    <w:rsid w:val="004863FC"/>
    <w:rsid w:val="004958F9"/>
    <w:rsid w:val="004A44FA"/>
    <w:rsid w:val="004B4422"/>
    <w:rsid w:val="004B4B34"/>
    <w:rsid w:val="004B67E6"/>
    <w:rsid w:val="004B7BC5"/>
    <w:rsid w:val="004C4589"/>
    <w:rsid w:val="004C58EC"/>
    <w:rsid w:val="004C7DC9"/>
    <w:rsid w:val="004D0E84"/>
    <w:rsid w:val="004D77DA"/>
    <w:rsid w:val="004E2832"/>
    <w:rsid w:val="004E2AFD"/>
    <w:rsid w:val="004E311F"/>
    <w:rsid w:val="004E4FBA"/>
    <w:rsid w:val="004E6D3A"/>
    <w:rsid w:val="004F04F1"/>
    <w:rsid w:val="004F22C2"/>
    <w:rsid w:val="004F410F"/>
    <w:rsid w:val="004F4467"/>
    <w:rsid w:val="0050035B"/>
    <w:rsid w:val="005060E5"/>
    <w:rsid w:val="005065FC"/>
    <w:rsid w:val="00511888"/>
    <w:rsid w:val="0051285C"/>
    <w:rsid w:val="005239F8"/>
    <w:rsid w:val="00523B92"/>
    <w:rsid w:val="0053315F"/>
    <w:rsid w:val="0053660B"/>
    <w:rsid w:val="005436B1"/>
    <w:rsid w:val="00546F6A"/>
    <w:rsid w:val="005566AC"/>
    <w:rsid w:val="00557271"/>
    <w:rsid w:val="005621AE"/>
    <w:rsid w:val="005632E2"/>
    <w:rsid w:val="0058442E"/>
    <w:rsid w:val="00586868"/>
    <w:rsid w:val="005941CD"/>
    <w:rsid w:val="00594931"/>
    <w:rsid w:val="005965A1"/>
    <w:rsid w:val="00597385"/>
    <w:rsid w:val="005A0F12"/>
    <w:rsid w:val="005B1686"/>
    <w:rsid w:val="005C1C27"/>
    <w:rsid w:val="005C4E2E"/>
    <w:rsid w:val="005C61EC"/>
    <w:rsid w:val="005D19C9"/>
    <w:rsid w:val="005E37C6"/>
    <w:rsid w:val="005E42A0"/>
    <w:rsid w:val="005F5A59"/>
    <w:rsid w:val="006046EF"/>
    <w:rsid w:val="00613720"/>
    <w:rsid w:val="006206CA"/>
    <w:rsid w:val="0062560E"/>
    <w:rsid w:val="0063570E"/>
    <w:rsid w:val="00637FE2"/>
    <w:rsid w:val="00651DC1"/>
    <w:rsid w:val="006545CD"/>
    <w:rsid w:val="0067141B"/>
    <w:rsid w:val="0067333E"/>
    <w:rsid w:val="00674B26"/>
    <w:rsid w:val="00675485"/>
    <w:rsid w:val="0067722C"/>
    <w:rsid w:val="00680743"/>
    <w:rsid w:val="0068367F"/>
    <w:rsid w:val="00690E5A"/>
    <w:rsid w:val="00692C74"/>
    <w:rsid w:val="006A1F5D"/>
    <w:rsid w:val="006B0D52"/>
    <w:rsid w:val="006C17E2"/>
    <w:rsid w:val="006C5DF2"/>
    <w:rsid w:val="006D74E7"/>
    <w:rsid w:val="006E0DC0"/>
    <w:rsid w:val="006F1C3D"/>
    <w:rsid w:val="006F5049"/>
    <w:rsid w:val="00712539"/>
    <w:rsid w:val="00724201"/>
    <w:rsid w:val="00730987"/>
    <w:rsid w:val="0075373E"/>
    <w:rsid w:val="00755301"/>
    <w:rsid w:val="00777D8F"/>
    <w:rsid w:val="007861CA"/>
    <w:rsid w:val="00791E97"/>
    <w:rsid w:val="0079518A"/>
    <w:rsid w:val="007A5993"/>
    <w:rsid w:val="007A5E27"/>
    <w:rsid w:val="007B21B6"/>
    <w:rsid w:val="007B2664"/>
    <w:rsid w:val="007C5C14"/>
    <w:rsid w:val="007D618C"/>
    <w:rsid w:val="007E1635"/>
    <w:rsid w:val="007E547C"/>
    <w:rsid w:val="007E7F81"/>
    <w:rsid w:val="007F6CC3"/>
    <w:rsid w:val="007F7698"/>
    <w:rsid w:val="00812033"/>
    <w:rsid w:val="00815F82"/>
    <w:rsid w:val="008221C2"/>
    <w:rsid w:val="008249B4"/>
    <w:rsid w:val="00852366"/>
    <w:rsid w:val="008556A9"/>
    <w:rsid w:val="00857D5D"/>
    <w:rsid w:val="008603B2"/>
    <w:rsid w:val="00865168"/>
    <w:rsid w:val="0086527C"/>
    <w:rsid w:val="00865795"/>
    <w:rsid w:val="0086684D"/>
    <w:rsid w:val="008763BD"/>
    <w:rsid w:val="00876D08"/>
    <w:rsid w:val="008862F7"/>
    <w:rsid w:val="008944BF"/>
    <w:rsid w:val="008964B7"/>
    <w:rsid w:val="008970EC"/>
    <w:rsid w:val="008B12A6"/>
    <w:rsid w:val="008C129D"/>
    <w:rsid w:val="008C235E"/>
    <w:rsid w:val="008C78D3"/>
    <w:rsid w:val="008D6628"/>
    <w:rsid w:val="008E2595"/>
    <w:rsid w:val="008E2E1C"/>
    <w:rsid w:val="008E4EE1"/>
    <w:rsid w:val="00900183"/>
    <w:rsid w:val="00905E95"/>
    <w:rsid w:val="009077B9"/>
    <w:rsid w:val="00922DFD"/>
    <w:rsid w:val="00931DBB"/>
    <w:rsid w:val="0094154C"/>
    <w:rsid w:val="00941C62"/>
    <w:rsid w:val="00944A2D"/>
    <w:rsid w:val="00944E43"/>
    <w:rsid w:val="00956F79"/>
    <w:rsid w:val="00974478"/>
    <w:rsid w:val="00974CC5"/>
    <w:rsid w:val="009754DA"/>
    <w:rsid w:val="009765BE"/>
    <w:rsid w:val="009A1827"/>
    <w:rsid w:val="009A516D"/>
    <w:rsid w:val="009A5B06"/>
    <w:rsid w:val="009A78BC"/>
    <w:rsid w:val="009B013F"/>
    <w:rsid w:val="009B459A"/>
    <w:rsid w:val="009D3183"/>
    <w:rsid w:val="009D7A14"/>
    <w:rsid w:val="009E2657"/>
    <w:rsid w:val="009E4098"/>
    <w:rsid w:val="009E6A5D"/>
    <w:rsid w:val="009F490B"/>
    <w:rsid w:val="00A05E7B"/>
    <w:rsid w:val="00A15124"/>
    <w:rsid w:val="00A223FF"/>
    <w:rsid w:val="00A24156"/>
    <w:rsid w:val="00A30FEB"/>
    <w:rsid w:val="00A335FC"/>
    <w:rsid w:val="00A346C9"/>
    <w:rsid w:val="00A4057E"/>
    <w:rsid w:val="00A52DEE"/>
    <w:rsid w:val="00A549E2"/>
    <w:rsid w:val="00A56D37"/>
    <w:rsid w:val="00A607C4"/>
    <w:rsid w:val="00A662AE"/>
    <w:rsid w:val="00A71161"/>
    <w:rsid w:val="00A72861"/>
    <w:rsid w:val="00A84AC3"/>
    <w:rsid w:val="00A938E4"/>
    <w:rsid w:val="00AB1017"/>
    <w:rsid w:val="00AB199C"/>
    <w:rsid w:val="00AB39DA"/>
    <w:rsid w:val="00AB4FF7"/>
    <w:rsid w:val="00AB577E"/>
    <w:rsid w:val="00AC0705"/>
    <w:rsid w:val="00AC128C"/>
    <w:rsid w:val="00AD58FC"/>
    <w:rsid w:val="00AF32AF"/>
    <w:rsid w:val="00B01FE5"/>
    <w:rsid w:val="00B032C3"/>
    <w:rsid w:val="00B11EE7"/>
    <w:rsid w:val="00B13CFD"/>
    <w:rsid w:val="00B1763A"/>
    <w:rsid w:val="00B27AD1"/>
    <w:rsid w:val="00B337D4"/>
    <w:rsid w:val="00B37110"/>
    <w:rsid w:val="00B40148"/>
    <w:rsid w:val="00B41058"/>
    <w:rsid w:val="00B52B48"/>
    <w:rsid w:val="00B52EBF"/>
    <w:rsid w:val="00B556B5"/>
    <w:rsid w:val="00B55C1E"/>
    <w:rsid w:val="00B6039F"/>
    <w:rsid w:val="00B6045C"/>
    <w:rsid w:val="00B76831"/>
    <w:rsid w:val="00B807B2"/>
    <w:rsid w:val="00B810FF"/>
    <w:rsid w:val="00B90A7A"/>
    <w:rsid w:val="00B948D5"/>
    <w:rsid w:val="00BA2249"/>
    <w:rsid w:val="00BA3B9B"/>
    <w:rsid w:val="00BA65D9"/>
    <w:rsid w:val="00BC43B8"/>
    <w:rsid w:val="00BC5AA1"/>
    <w:rsid w:val="00BD41AD"/>
    <w:rsid w:val="00BE0133"/>
    <w:rsid w:val="00BE3893"/>
    <w:rsid w:val="00BE7246"/>
    <w:rsid w:val="00BF3199"/>
    <w:rsid w:val="00C07770"/>
    <w:rsid w:val="00C21850"/>
    <w:rsid w:val="00C21E08"/>
    <w:rsid w:val="00C2755B"/>
    <w:rsid w:val="00C3020D"/>
    <w:rsid w:val="00C3286C"/>
    <w:rsid w:val="00C33A4B"/>
    <w:rsid w:val="00C434F6"/>
    <w:rsid w:val="00C4505D"/>
    <w:rsid w:val="00C734CF"/>
    <w:rsid w:val="00C74119"/>
    <w:rsid w:val="00C82D0D"/>
    <w:rsid w:val="00C9495B"/>
    <w:rsid w:val="00C96F5B"/>
    <w:rsid w:val="00CA5437"/>
    <w:rsid w:val="00CA6DA4"/>
    <w:rsid w:val="00CA70A0"/>
    <w:rsid w:val="00CC073F"/>
    <w:rsid w:val="00CD177A"/>
    <w:rsid w:val="00CE1EF6"/>
    <w:rsid w:val="00CF0ED9"/>
    <w:rsid w:val="00CF5059"/>
    <w:rsid w:val="00D00199"/>
    <w:rsid w:val="00D0298B"/>
    <w:rsid w:val="00D12262"/>
    <w:rsid w:val="00D1349D"/>
    <w:rsid w:val="00D32C59"/>
    <w:rsid w:val="00D40399"/>
    <w:rsid w:val="00D43B46"/>
    <w:rsid w:val="00D45EBA"/>
    <w:rsid w:val="00D46C1D"/>
    <w:rsid w:val="00D50DD6"/>
    <w:rsid w:val="00D60E85"/>
    <w:rsid w:val="00D62D29"/>
    <w:rsid w:val="00D766E2"/>
    <w:rsid w:val="00D76A5B"/>
    <w:rsid w:val="00D8166B"/>
    <w:rsid w:val="00D918E5"/>
    <w:rsid w:val="00D9431C"/>
    <w:rsid w:val="00D9585E"/>
    <w:rsid w:val="00D967E4"/>
    <w:rsid w:val="00D97476"/>
    <w:rsid w:val="00D97973"/>
    <w:rsid w:val="00DB0CBB"/>
    <w:rsid w:val="00DB7F7C"/>
    <w:rsid w:val="00DC15F7"/>
    <w:rsid w:val="00DE5B5B"/>
    <w:rsid w:val="00DF496E"/>
    <w:rsid w:val="00DF62A6"/>
    <w:rsid w:val="00E05226"/>
    <w:rsid w:val="00E07E2A"/>
    <w:rsid w:val="00E120CB"/>
    <w:rsid w:val="00E139A9"/>
    <w:rsid w:val="00E14F69"/>
    <w:rsid w:val="00E1536F"/>
    <w:rsid w:val="00E176EE"/>
    <w:rsid w:val="00E34578"/>
    <w:rsid w:val="00E34BCE"/>
    <w:rsid w:val="00E515B4"/>
    <w:rsid w:val="00E70A9C"/>
    <w:rsid w:val="00E71010"/>
    <w:rsid w:val="00E946DC"/>
    <w:rsid w:val="00E96D5B"/>
    <w:rsid w:val="00EA3E49"/>
    <w:rsid w:val="00EA67B0"/>
    <w:rsid w:val="00EB7F24"/>
    <w:rsid w:val="00ED4086"/>
    <w:rsid w:val="00ED61A9"/>
    <w:rsid w:val="00EF09DA"/>
    <w:rsid w:val="00EF7450"/>
    <w:rsid w:val="00F0276F"/>
    <w:rsid w:val="00F07770"/>
    <w:rsid w:val="00F204E6"/>
    <w:rsid w:val="00F22C76"/>
    <w:rsid w:val="00F329C3"/>
    <w:rsid w:val="00F32D33"/>
    <w:rsid w:val="00F33904"/>
    <w:rsid w:val="00F40ACA"/>
    <w:rsid w:val="00F40DCE"/>
    <w:rsid w:val="00F44E8D"/>
    <w:rsid w:val="00F50F08"/>
    <w:rsid w:val="00F51C6C"/>
    <w:rsid w:val="00F52323"/>
    <w:rsid w:val="00F61DB3"/>
    <w:rsid w:val="00F62BAB"/>
    <w:rsid w:val="00F64989"/>
    <w:rsid w:val="00F659A3"/>
    <w:rsid w:val="00F669EC"/>
    <w:rsid w:val="00F674D8"/>
    <w:rsid w:val="00F730B0"/>
    <w:rsid w:val="00F80725"/>
    <w:rsid w:val="00F8124C"/>
    <w:rsid w:val="00F81D49"/>
    <w:rsid w:val="00F90D25"/>
    <w:rsid w:val="00F93855"/>
    <w:rsid w:val="00FA3F79"/>
    <w:rsid w:val="00FD166C"/>
    <w:rsid w:val="00FD5858"/>
    <w:rsid w:val="00FE19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3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EBA"/>
  </w:style>
  <w:style w:type="paragraph" w:styleId="Piedepgina">
    <w:name w:val="footer"/>
    <w:basedOn w:val="Normal"/>
    <w:link w:val="PiedepginaCar"/>
    <w:uiPriority w:val="99"/>
    <w:unhideWhenUsed/>
    <w:rsid w:val="00D45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EBA"/>
  </w:style>
  <w:style w:type="paragraph" w:styleId="Textodeglobo">
    <w:name w:val="Balloon Text"/>
    <w:basedOn w:val="Normal"/>
    <w:link w:val="TextodegloboCar"/>
    <w:uiPriority w:val="99"/>
    <w:semiHidden/>
    <w:unhideWhenUsed/>
    <w:rsid w:val="00D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34CF"/>
    <w:pPr>
      <w:ind w:left="720"/>
      <w:contextualSpacing/>
    </w:pPr>
  </w:style>
  <w:style w:type="character" w:customStyle="1" w:styleId="apple-style-span">
    <w:name w:val="apple-style-span"/>
    <w:rsid w:val="00C734CF"/>
  </w:style>
  <w:style w:type="character" w:customStyle="1" w:styleId="a9">
    <w:name w:val="a9"/>
    <w:rsid w:val="00C734CF"/>
  </w:style>
  <w:style w:type="paragraph" w:customStyle="1" w:styleId="Default">
    <w:name w:val="Default"/>
    <w:rsid w:val="005E4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12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EBA"/>
  </w:style>
  <w:style w:type="paragraph" w:styleId="Piedepgina">
    <w:name w:val="footer"/>
    <w:basedOn w:val="Normal"/>
    <w:link w:val="PiedepginaCar"/>
    <w:uiPriority w:val="99"/>
    <w:unhideWhenUsed/>
    <w:rsid w:val="00D45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EBA"/>
  </w:style>
  <w:style w:type="paragraph" w:styleId="Textodeglobo">
    <w:name w:val="Balloon Text"/>
    <w:basedOn w:val="Normal"/>
    <w:link w:val="TextodegloboCar"/>
    <w:uiPriority w:val="99"/>
    <w:semiHidden/>
    <w:unhideWhenUsed/>
    <w:rsid w:val="00D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34CF"/>
    <w:pPr>
      <w:ind w:left="720"/>
      <w:contextualSpacing/>
    </w:pPr>
  </w:style>
  <w:style w:type="character" w:customStyle="1" w:styleId="apple-style-span">
    <w:name w:val="apple-style-span"/>
    <w:rsid w:val="00C734CF"/>
  </w:style>
  <w:style w:type="character" w:customStyle="1" w:styleId="a9">
    <w:name w:val="a9"/>
    <w:rsid w:val="00C734CF"/>
  </w:style>
  <w:style w:type="paragraph" w:customStyle="1" w:styleId="Default">
    <w:name w:val="Default"/>
    <w:rsid w:val="005E4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1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anabastos.com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0790-D522-4133-BB1F-25A5DDA2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1535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Vanessa N</dc:creator>
  <cp:lastModifiedBy>sistemas</cp:lastModifiedBy>
  <cp:revision>3</cp:revision>
  <cp:lastPrinted>2016-01-13T21:01:00Z</cp:lastPrinted>
  <dcterms:created xsi:type="dcterms:W3CDTF">2016-01-13T20:44:00Z</dcterms:created>
  <dcterms:modified xsi:type="dcterms:W3CDTF">2016-01-13T21:07:00Z</dcterms:modified>
</cp:coreProperties>
</file>